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proofErr w:type="gramStart"/>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w:t>
            </w:r>
            <w:proofErr w:type="spellStart"/>
            <w:r w:rsidR="006A23E9" w:rsidRPr="00946B70">
              <w:rPr>
                <w:rFonts w:ascii="Tahoma" w:hAnsi="Tahoma" w:cs="Tahoma"/>
                <w:color w:val="000000"/>
                <w:sz w:val="14"/>
                <w:szCs w:val="14"/>
                <w:shd w:val="clear" w:color="auto" w:fill="FFFFFF"/>
              </w:rPr>
              <w:t>Tognotti</w:t>
            </w:r>
            <w:proofErr w:type="spellEnd"/>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Rubens Maciel Filho</w:t>
            </w:r>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 xml:space="preserve">Viatcheslav </w:t>
            </w:r>
            <w:proofErr w:type="spellStart"/>
            <w:r w:rsidR="006A23E9" w:rsidRPr="00946B70">
              <w:rPr>
                <w:rFonts w:ascii="Tahoma" w:hAnsi="Tahoma" w:cs="Tahoma"/>
                <w:color w:val="000000"/>
                <w:sz w:val="14"/>
                <w:szCs w:val="14"/>
              </w:rPr>
              <w:t>Kafarov</w:t>
            </w:r>
            <w:proofErr w:type="spellEnd"/>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28E145DA" w:rsidR="00E978D0" w:rsidRPr="005A5105" w:rsidRDefault="001075B7" w:rsidP="00E978D0">
      <w:pPr>
        <w:pStyle w:val="CETTitle"/>
        <w:rPr>
          <w:lang w:val="es-CO"/>
        </w:rPr>
      </w:pPr>
      <w:proofErr w:type="spellStart"/>
      <w:r w:rsidRPr="005A5105">
        <w:rPr>
          <w:lang w:val="es-CO"/>
        </w:rPr>
        <w:t>Sunscreen</w:t>
      </w:r>
      <w:proofErr w:type="spellEnd"/>
      <w:r w:rsidRPr="005A5105">
        <w:rPr>
          <w:lang w:val="es-CO"/>
        </w:rPr>
        <w:t xml:space="preserve"> </w:t>
      </w:r>
      <w:proofErr w:type="spellStart"/>
      <w:r w:rsidRPr="005A5105">
        <w:rPr>
          <w:lang w:val="es-CO"/>
        </w:rPr>
        <w:t>production</w:t>
      </w:r>
      <w:proofErr w:type="spellEnd"/>
      <w:r w:rsidRPr="005A5105">
        <w:rPr>
          <w:lang w:val="es-CO"/>
        </w:rPr>
        <w:t xml:space="preserve"> </w:t>
      </w:r>
      <w:proofErr w:type="spellStart"/>
      <w:r w:rsidRPr="005A5105">
        <w:rPr>
          <w:lang w:val="es-CO"/>
        </w:rPr>
        <w:t>from</w:t>
      </w:r>
      <w:proofErr w:type="spellEnd"/>
      <w:r w:rsidRPr="005A5105">
        <w:rPr>
          <w:lang w:val="es-CO"/>
        </w:rPr>
        <w:t xml:space="preserve"> </w:t>
      </w:r>
      <w:proofErr w:type="spellStart"/>
      <w:r w:rsidRPr="005A5105">
        <w:rPr>
          <w:lang w:val="es-CO"/>
        </w:rPr>
        <w:t>Chlorella</w:t>
      </w:r>
      <w:proofErr w:type="spellEnd"/>
      <w:r w:rsidRPr="005A5105">
        <w:rPr>
          <w:lang w:val="es-CO"/>
        </w:rPr>
        <w:t xml:space="preserve"> </w:t>
      </w:r>
      <w:proofErr w:type="spellStart"/>
      <w:r w:rsidRPr="005A5105">
        <w:rPr>
          <w:lang w:val="es-CO"/>
        </w:rPr>
        <w:t>vulgaris</w:t>
      </w:r>
      <w:proofErr w:type="spellEnd"/>
    </w:p>
    <w:p w14:paraId="0488FED2" w14:textId="3A1249B9" w:rsidR="00B57E6F" w:rsidRPr="001075B7" w:rsidRDefault="001075B7" w:rsidP="00B57E6F">
      <w:pPr>
        <w:pStyle w:val="CETAuthors"/>
        <w:rPr>
          <w:lang w:val="es-CO"/>
        </w:rPr>
      </w:pPr>
      <w:r w:rsidRPr="001075B7">
        <w:rPr>
          <w:lang w:val="es-CO"/>
        </w:rPr>
        <w:t>Juan Sandoval</w:t>
      </w:r>
      <w:r w:rsidR="00B57E6F" w:rsidRPr="001075B7">
        <w:rPr>
          <w:vertAlign w:val="superscript"/>
          <w:lang w:val="es-CO"/>
        </w:rPr>
        <w:t>a</w:t>
      </w:r>
      <w:r w:rsidR="00C84682">
        <w:rPr>
          <w:vertAlign w:val="superscript"/>
          <w:lang w:val="es-CO"/>
        </w:rPr>
        <w:t>,*</w:t>
      </w:r>
      <w:r w:rsidR="00B57E6F" w:rsidRPr="001075B7">
        <w:rPr>
          <w:lang w:val="es-CO"/>
        </w:rPr>
        <w:t xml:space="preserve">, </w:t>
      </w:r>
      <w:r w:rsidRPr="001075B7">
        <w:rPr>
          <w:lang w:val="es-CO"/>
        </w:rPr>
        <w:t>Kelly</w:t>
      </w:r>
      <w:r w:rsidR="00B57E6F" w:rsidRPr="001075B7">
        <w:rPr>
          <w:lang w:val="es-CO"/>
        </w:rPr>
        <w:t xml:space="preserve"> </w:t>
      </w:r>
      <w:r w:rsidRPr="001075B7">
        <w:rPr>
          <w:lang w:val="es-CO"/>
        </w:rPr>
        <w:t>Naranjo</w:t>
      </w:r>
      <w:r w:rsidR="00B57E6F" w:rsidRPr="001075B7">
        <w:rPr>
          <w:lang w:val="es-CO"/>
        </w:rPr>
        <w:t xml:space="preserve">, </w:t>
      </w:r>
      <w:r w:rsidRPr="001075B7">
        <w:rPr>
          <w:lang w:val="es-CO"/>
        </w:rPr>
        <w:t>La</w:t>
      </w:r>
      <w:r>
        <w:rPr>
          <w:lang w:val="es-CO"/>
        </w:rPr>
        <w:t>ura Casas</w:t>
      </w:r>
    </w:p>
    <w:p w14:paraId="6B2D21B3" w14:textId="36E963C7" w:rsidR="00B57E6F" w:rsidRPr="001075B7" w:rsidRDefault="00B57E6F" w:rsidP="00B57E6F">
      <w:pPr>
        <w:pStyle w:val="CETAddress"/>
        <w:rPr>
          <w:lang w:val="es-CO"/>
        </w:rPr>
      </w:pPr>
      <w:r w:rsidRPr="001075B7">
        <w:rPr>
          <w:vertAlign w:val="superscript"/>
          <w:lang w:val="es-CO"/>
        </w:rPr>
        <w:t>a</w:t>
      </w:r>
      <w:r w:rsidR="001075B7" w:rsidRPr="001075B7">
        <w:rPr>
          <w:lang w:val="es-CO"/>
        </w:rPr>
        <w:t>Universidad de América</w:t>
      </w:r>
      <w:r w:rsidRPr="001075B7">
        <w:rPr>
          <w:lang w:val="es-CO"/>
        </w:rPr>
        <w:t xml:space="preserve">, </w:t>
      </w:r>
      <w:r w:rsidR="001075B7" w:rsidRPr="001075B7">
        <w:rPr>
          <w:lang w:val="es-CO"/>
        </w:rPr>
        <w:t>Bogotá, Colombia</w:t>
      </w:r>
      <w:r w:rsidRPr="001075B7">
        <w:rPr>
          <w:lang w:val="es-CO"/>
        </w:rPr>
        <w:t xml:space="preserve"> </w:t>
      </w:r>
    </w:p>
    <w:p w14:paraId="73F1267A" w14:textId="0CCD4252" w:rsidR="00B57E6F" w:rsidRPr="001075B7" w:rsidRDefault="00C84682" w:rsidP="001075B7">
      <w:pPr>
        <w:pStyle w:val="CETAddress"/>
        <w:rPr>
          <w:lang w:val="es-CO"/>
        </w:rPr>
      </w:pPr>
      <w:r w:rsidRPr="00C84682">
        <w:rPr>
          <w:vertAlign w:val="superscript"/>
          <w:lang w:val="es-CO"/>
        </w:rPr>
        <w:t>*</w:t>
      </w:r>
      <w:r w:rsidR="00B57E6F" w:rsidRPr="001075B7">
        <w:rPr>
          <w:lang w:val="es-CO"/>
        </w:rPr>
        <w:t xml:space="preserve"> </w:t>
      </w:r>
      <w:r w:rsidR="001075B7" w:rsidRPr="001075B7">
        <w:rPr>
          <w:lang w:val="es-CO"/>
        </w:rPr>
        <w:t>juan.sandoval</w:t>
      </w:r>
      <w:r w:rsidR="00B57E6F" w:rsidRPr="001075B7">
        <w:rPr>
          <w:lang w:val="es-CO"/>
        </w:rPr>
        <w:t>@</w:t>
      </w:r>
      <w:r w:rsidR="001075B7" w:rsidRPr="001075B7">
        <w:rPr>
          <w:lang w:val="es-CO"/>
        </w:rPr>
        <w:t>profesores.uamerica.edu.co</w:t>
      </w:r>
      <w:r w:rsidR="00B57E6F" w:rsidRPr="001075B7">
        <w:rPr>
          <w:lang w:val="es-CO"/>
        </w:rPr>
        <w:t xml:space="preserve"> </w:t>
      </w:r>
    </w:p>
    <w:p w14:paraId="6C7263A3" w14:textId="77777777" w:rsidR="001075B7" w:rsidRDefault="001075B7" w:rsidP="00600535">
      <w:pPr>
        <w:pStyle w:val="CETBodytext"/>
        <w:rPr>
          <w:lang w:val="es-CO"/>
        </w:rPr>
      </w:pPr>
    </w:p>
    <w:p w14:paraId="4B9C9534" w14:textId="360C4699" w:rsidR="00C84682" w:rsidRPr="00B57B36" w:rsidRDefault="00C84682" w:rsidP="00600535">
      <w:pPr>
        <w:pStyle w:val="CETBodytext"/>
        <w:rPr>
          <w:lang w:val="en-GB"/>
        </w:rPr>
      </w:pPr>
      <w:bookmarkStart w:id="0" w:name="_Hlk495475023"/>
      <w:r w:rsidRPr="00C84682">
        <w:rPr>
          <w:lang w:val="en-GB"/>
        </w:rPr>
        <w:t>Sunscreen use has increased due to climate change and greater widespread awareness of the risk of acquiring skin diseases, including cancer, due to ultraviolet radiation from the sun (Hiatt &amp; Beyeler, 2020; Alli et al., 2023). This has had a negative impact on water due to the increased release of components from these cosmetic products (</w:t>
      </w:r>
      <w:proofErr w:type="spellStart"/>
      <w:r w:rsidRPr="00C84682">
        <w:rPr>
          <w:lang w:val="en-GB"/>
        </w:rPr>
        <w:t>Couselo</w:t>
      </w:r>
      <w:proofErr w:type="spellEnd"/>
      <w:r w:rsidRPr="00C84682">
        <w:rPr>
          <w:lang w:val="en-GB"/>
        </w:rPr>
        <w:t>-Rodríguez et al., 2022). In this sense, product formulation should consider aspects of environmental and social sustainability.</w:t>
      </w:r>
      <w:r>
        <w:rPr>
          <w:lang w:val="en-GB"/>
        </w:rPr>
        <w:t xml:space="preserve"> </w:t>
      </w:r>
      <w:r w:rsidRPr="00C84682">
        <w:rPr>
          <w:lang w:val="en-GB"/>
        </w:rPr>
        <w:t>Microalgae</w:t>
      </w:r>
      <w:r>
        <w:rPr>
          <w:lang w:val="en-GB"/>
        </w:rPr>
        <w:t xml:space="preserve"> capture</w:t>
      </w:r>
      <w:r w:rsidRPr="00C84682">
        <w:rPr>
          <w:lang w:val="en-GB"/>
        </w:rPr>
        <w:t xml:space="preserve"> CO</w:t>
      </w:r>
      <w:r w:rsidRPr="00D04435">
        <w:rPr>
          <w:vertAlign w:val="subscript"/>
          <w:lang w:val="en-GB"/>
        </w:rPr>
        <w:t>2</w:t>
      </w:r>
      <w:r w:rsidRPr="00C84682">
        <w:rPr>
          <w:lang w:val="en-GB"/>
        </w:rPr>
        <w:t xml:space="preserve"> from the atmosphere</w:t>
      </w:r>
      <w:r>
        <w:rPr>
          <w:lang w:val="en-GB"/>
        </w:rPr>
        <w:t xml:space="preserve">, </w:t>
      </w:r>
      <w:r w:rsidRPr="00C84682">
        <w:rPr>
          <w:lang w:val="en-GB"/>
        </w:rPr>
        <w:t>remov</w:t>
      </w:r>
      <w:r>
        <w:rPr>
          <w:lang w:val="en-GB"/>
        </w:rPr>
        <w:t>e</w:t>
      </w:r>
      <w:r w:rsidRPr="00C84682">
        <w:rPr>
          <w:lang w:val="en-GB"/>
        </w:rPr>
        <w:t xml:space="preserve"> contaminants from wastewater, including traces of </w:t>
      </w:r>
      <w:r>
        <w:rPr>
          <w:lang w:val="en-GB"/>
        </w:rPr>
        <w:t>emerging pollutants</w:t>
      </w:r>
      <w:r w:rsidRPr="00C84682">
        <w:rPr>
          <w:lang w:val="en-GB"/>
        </w:rPr>
        <w:t xml:space="preserve"> (Ávila-</w:t>
      </w:r>
      <w:proofErr w:type="spellStart"/>
      <w:r w:rsidRPr="00C84682">
        <w:rPr>
          <w:lang w:val="en-GB"/>
        </w:rPr>
        <w:t>Cújar</w:t>
      </w:r>
      <w:proofErr w:type="spellEnd"/>
      <w:r w:rsidRPr="00C84682">
        <w:rPr>
          <w:lang w:val="en-GB"/>
        </w:rPr>
        <w:t xml:space="preserve"> et al., 2021), </w:t>
      </w:r>
      <w:r>
        <w:rPr>
          <w:lang w:val="en-GB"/>
        </w:rPr>
        <w:t xml:space="preserve">and </w:t>
      </w:r>
      <w:r w:rsidR="00D80303">
        <w:rPr>
          <w:lang w:val="en-GB"/>
        </w:rPr>
        <w:t>give an</w:t>
      </w:r>
      <w:r w:rsidRPr="00C84682">
        <w:rPr>
          <w:lang w:val="en-GB"/>
        </w:rPr>
        <w:t xml:space="preserve"> alternative for environmentally friendly sunscreens. The initiative</w:t>
      </w:r>
      <w:r w:rsidR="00D80303">
        <w:rPr>
          <w:lang w:val="en-GB"/>
        </w:rPr>
        <w:t xml:space="preserve"> </w:t>
      </w:r>
      <w:r w:rsidRPr="00C84682">
        <w:rPr>
          <w:lang w:val="en-GB"/>
        </w:rPr>
        <w:t>becomes a first step towards the possible development of a business based on sunscreen production. Microalgal biomass production was carried out under laboratory conditions. Subsequently, the biomass was separated from the culture medium, and the components responsible for the protective function, such as beta-carotenes and mycosporines, were quantified by spectrophotometry. Next, the sunscreen formulation was developed, and finally, the sun protection factor (SPF) was determined, in addition to verifying some organoleptic properties related to its application. The product obtained achieved an SPF of 8 with in vitro tests, and the use of environmentally friendly components in its formulation makes it an attractive alternative from an environmental and social perspective.</w:t>
      </w:r>
    </w:p>
    <w:bookmarkEnd w:id="0"/>
    <w:p w14:paraId="476B2F2E" w14:textId="77777777" w:rsidR="00600535" w:rsidRPr="00B57B36" w:rsidRDefault="00600535" w:rsidP="00600535">
      <w:pPr>
        <w:pStyle w:val="CETHeading1"/>
        <w:rPr>
          <w:lang w:val="en-GB"/>
        </w:rPr>
      </w:pPr>
      <w:r w:rsidRPr="00B57B36">
        <w:rPr>
          <w:lang w:val="en-GB"/>
        </w:rPr>
        <w:t>Introduction</w:t>
      </w:r>
    </w:p>
    <w:p w14:paraId="4EEB1BA5" w14:textId="2C2A8A36" w:rsidR="001075B7" w:rsidRPr="001075B7" w:rsidRDefault="001075B7" w:rsidP="001075B7">
      <w:pPr>
        <w:pStyle w:val="CETBodytext"/>
        <w:rPr>
          <w:lang w:val="en-GB"/>
        </w:rPr>
      </w:pPr>
      <w:r w:rsidRPr="001075B7">
        <w:rPr>
          <w:lang w:val="en-GB"/>
        </w:rPr>
        <w:t>In the global context, cosmetic industry generates around $262.21 billion, with skin care products representing 38% of the market value. Sunscreens, categorized as part of the skincare product range, have increased their market share, serving as preventive measures against aging, sunburns, and the development of keratinocyte cancers and melanoma due to prolonged exposure to UV radiation (Grand View Research, 2020</w:t>
      </w:r>
      <w:r w:rsidR="00D04435">
        <w:rPr>
          <w:lang w:val="en-GB"/>
        </w:rPr>
        <w:t xml:space="preserve">; </w:t>
      </w:r>
      <w:r w:rsidRPr="001075B7">
        <w:rPr>
          <w:lang w:val="en-GB"/>
        </w:rPr>
        <w:t>Narla &amp; Lim, 2020). Consequently, these products are considered pharmaceuticals and emerge as an alternative for skin cancer prevention</w:t>
      </w:r>
      <w:r w:rsidR="00D04435">
        <w:rPr>
          <w:lang w:val="en-GB"/>
        </w:rPr>
        <w:t xml:space="preserve">, because </w:t>
      </w:r>
      <w:r w:rsidR="00D04435" w:rsidRPr="001075B7">
        <w:rPr>
          <w:lang w:val="en-GB"/>
        </w:rPr>
        <w:t>1.5 million new cases of skin cancer were reported worldwide</w:t>
      </w:r>
      <w:r w:rsidR="00D04435">
        <w:rPr>
          <w:lang w:val="en-GB"/>
        </w:rPr>
        <w:t xml:space="preserve"> </w:t>
      </w:r>
      <w:r w:rsidR="00D04435" w:rsidRPr="001075B7">
        <w:rPr>
          <w:lang w:val="en-GB"/>
        </w:rPr>
        <w:t xml:space="preserve">in 2020, </w:t>
      </w:r>
      <w:r w:rsidR="00D04435">
        <w:rPr>
          <w:lang w:val="en-GB"/>
        </w:rPr>
        <w:t>caused</w:t>
      </w:r>
      <w:r w:rsidR="00D04435" w:rsidRPr="001075B7">
        <w:rPr>
          <w:lang w:val="en-GB"/>
        </w:rPr>
        <w:t xml:space="preserve"> </w:t>
      </w:r>
      <w:r w:rsidR="00DF6A46">
        <w:rPr>
          <w:lang w:val="en-GB"/>
        </w:rPr>
        <w:t>for</w:t>
      </w:r>
      <w:r w:rsidR="00D04435" w:rsidRPr="001075B7">
        <w:rPr>
          <w:lang w:val="en-GB"/>
        </w:rPr>
        <w:t xml:space="preserve"> the increased ultraviolet radiation on Earth </w:t>
      </w:r>
      <w:r w:rsidRPr="001075B7">
        <w:rPr>
          <w:lang w:val="en-GB"/>
        </w:rPr>
        <w:t>(World Health Organization, 2022).</w:t>
      </w:r>
    </w:p>
    <w:p w14:paraId="2C905F1C" w14:textId="77777777" w:rsidR="001075B7" w:rsidRPr="001075B7" w:rsidRDefault="001075B7" w:rsidP="001075B7">
      <w:pPr>
        <w:pStyle w:val="CETBodytext"/>
        <w:rPr>
          <w:lang w:val="en-GB"/>
        </w:rPr>
      </w:pPr>
    </w:p>
    <w:p w14:paraId="399D8AAA" w14:textId="7FFABF4C" w:rsidR="001075B7" w:rsidRPr="001075B7" w:rsidRDefault="001075B7" w:rsidP="001075B7">
      <w:pPr>
        <w:pStyle w:val="CETBodytext"/>
        <w:rPr>
          <w:lang w:val="en-GB"/>
        </w:rPr>
      </w:pPr>
      <w:r w:rsidRPr="001075B7">
        <w:rPr>
          <w:lang w:val="en-GB"/>
        </w:rPr>
        <w:t xml:space="preserve">Currently, among various cosmetic products, sunscreens </w:t>
      </w:r>
      <w:r w:rsidR="00DF6A46">
        <w:rPr>
          <w:lang w:val="en-GB"/>
        </w:rPr>
        <w:t>give</w:t>
      </w:r>
      <w:r w:rsidRPr="001075B7">
        <w:rPr>
          <w:lang w:val="en-GB"/>
        </w:rPr>
        <w:t xml:space="preserve"> the most effective protection against UV radiation damage. </w:t>
      </w:r>
      <w:r w:rsidR="00DF6A46">
        <w:rPr>
          <w:lang w:val="en-GB"/>
        </w:rPr>
        <w:t>Following</w:t>
      </w:r>
      <w:r w:rsidRPr="001075B7">
        <w:rPr>
          <w:lang w:val="en-GB"/>
        </w:rPr>
        <w:t xml:space="preserve"> Salvador and </w:t>
      </w:r>
      <w:proofErr w:type="spellStart"/>
      <w:r w:rsidRPr="001075B7">
        <w:rPr>
          <w:lang w:val="en-GB"/>
        </w:rPr>
        <w:t>Chisvert</w:t>
      </w:r>
      <w:proofErr w:type="spellEnd"/>
      <w:r w:rsidRPr="001075B7">
        <w:rPr>
          <w:lang w:val="en-GB"/>
        </w:rPr>
        <w:t xml:space="preserve"> (2005), sunscreens are "any cosmetic product containing UV filters in its formulation with the aim of protecting the skin from harmful solar ultraviolet light, preventing or minimizing the damage this radiation can cause to human health". The</w:t>
      </w:r>
      <w:r w:rsidR="00DF6A46">
        <w:rPr>
          <w:lang w:val="en-GB"/>
        </w:rPr>
        <w:t>ir</w:t>
      </w:r>
      <w:r w:rsidRPr="001075B7">
        <w:rPr>
          <w:lang w:val="en-GB"/>
        </w:rPr>
        <w:t xml:space="preserve"> formulation </w:t>
      </w:r>
      <w:r w:rsidR="00DF6A46">
        <w:rPr>
          <w:lang w:val="en-GB"/>
        </w:rPr>
        <w:t>includes</w:t>
      </w:r>
      <w:r w:rsidRPr="001075B7">
        <w:rPr>
          <w:lang w:val="en-GB"/>
        </w:rPr>
        <w:t xml:space="preserve"> organic compounds</w:t>
      </w:r>
      <w:r w:rsidR="00DF6A46">
        <w:rPr>
          <w:lang w:val="en-GB"/>
        </w:rPr>
        <w:t xml:space="preserve"> </w:t>
      </w:r>
      <w:r w:rsidRPr="001075B7">
        <w:rPr>
          <w:lang w:val="en-GB"/>
        </w:rPr>
        <w:t xml:space="preserve">(aminobenzoate, benzophenones, and </w:t>
      </w:r>
      <w:proofErr w:type="spellStart"/>
      <w:r w:rsidRPr="001075B7">
        <w:rPr>
          <w:lang w:val="en-GB"/>
        </w:rPr>
        <w:t>dibenzylmethanes</w:t>
      </w:r>
      <w:proofErr w:type="spellEnd"/>
      <w:r w:rsidRPr="001075B7">
        <w:rPr>
          <w:lang w:val="en-GB"/>
        </w:rPr>
        <w:t>) and inorganic compounds (titanium dioxide and zinc oxide) with absorption and reflection properties for solar radiation. However, the environmental impact caused by the organic UV filters used in the process is alarming, as their low solubility and high lipophilic properties hinder their elimination in wastewater, disrupting aquatic ecosystems and biodiversity. According to the environmental organization Green Cross, 25,000 tons of sun creams reach the oceans annually (Crespo, 2022).</w:t>
      </w:r>
    </w:p>
    <w:p w14:paraId="6BDD7F43" w14:textId="77777777" w:rsidR="001075B7" w:rsidRPr="001075B7" w:rsidRDefault="001075B7" w:rsidP="001075B7">
      <w:pPr>
        <w:pStyle w:val="CETBodytext"/>
        <w:rPr>
          <w:lang w:val="en-GB"/>
        </w:rPr>
      </w:pPr>
    </w:p>
    <w:p w14:paraId="1F91C448" w14:textId="77777777" w:rsidR="00DF6A46" w:rsidRDefault="001075B7" w:rsidP="001075B7">
      <w:pPr>
        <w:pStyle w:val="CETBodytext"/>
        <w:rPr>
          <w:lang w:val="en-GB"/>
        </w:rPr>
      </w:pPr>
      <w:r w:rsidRPr="001075B7">
        <w:rPr>
          <w:lang w:val="en-GB"/>
        </w:rPr>
        <w:t xml:space="preserve">Microalgae offer advantages in terms of biomass production, rapid growth times, and tolerance to wide ranges of pH, salinity, and temperature. </w:t>
      </w:r>
      <w:r w:rsidR="00DF6A46">
        <w:rPr>
          <w:lang w:val="en-GB"/>
        </w:rPr>
        <w:t>Besides, they</w:t>
      </w:r>
      <w:r w:rsidR="00DF6A46" w:rsidRPr="001075B7">
        <w:rPr>
          <w:lang w:val="en-GB"/>
        </w:rPr>
        <w:t xml:space="preserve"> can convert solar energy into chemical energy, producing high-value-added natural bioactive compounds (</w:t>
      </w:r>
      <w:proofErr w:type="spellStart"/>
      <w:r w:rsidR="00DF6A46" w:rsidRPr="001075B7">
        <w:rPr>
          <w:lang w:val="en-GB"/>
        </w:rPr>
        <w:t>Ariede</w:t>
      </w:r>
      <w:proofErr w:type="spellEnd"/>
      <w:r w:rsidR="00DF6A46" w:rsidRPr="001075B7">
        <w:rPr>
          <w:lang w:val="en-GB"/>
        </w:rPr>
        <w:t xml:space="preserve"> et al., 2017)</w:t>
      </w:r>
      <w:r w:rsidR="00DF6A46">
        <w:rPr>
          <w:lang w:val="en-GB"/>
        </w:rPr>
        <w:t xml:space="preserve">. </w:t>
      </w:r>
      <w:r w:rsidRPr="001075B7">
        <w:rPr>
          <w:lang w:val="en-GB"/>
        </w:rPr>
        <w:t>As a result, they have gained attention in the cosmetic industry, for the development of pharmaceutical and cosmetic products. Thus, microalgae and the</w:t>
      </w:r>
      <w:r w:rsidR="00DF6A46">
        <w:rPr>
          <w:lang w:val="en-GB"/>
        </w:rPr>
        <w:t>ir</w:t>
      </w:r>
      <w:r w:rsidRPr="001075B7">
        <w:rPr>
          <w:lang w:val="en-GB"/>
        </w:rPr>
        <w:t xml:space="preserve"> secondary metabolites </w:t>
      </w:r>
      <w:r w:rsidR="00DF6A46">
        <w:rPr>
          <w:lang w:val="en-GB"/>
        </w:rPr>
        <w:t>are</w:t>
      </w:r>
      <w:r w:rsidRPr="001075B7">
        <w:rPr>
          <w:lang w:val="en-GB"/>
        </w:rPr>
        <w:t xml:space="preserve"> a more sustainable alternative for manufacturing ecological ingredients and products.</w:t>
      </w:r>
      <w:r w:rsidR="00DF6A46">
        <w:rPr>
          <w:lang w:val="en-GB"/>
        </w:rPr>
        <w:t xml:space="preserve"> </w:t>
      </w:r>
    </w:p>
    <w:p w14:paraId="05384EB6" w14:textId="49A038A7" w:rsidR="001075B7" w:rsidRDefault="001075B7" w:rsidP="001075B7">
      <w:pPr>
        <w:pStyle w:val="CETBodytext"/>
        <w:rPr>
          <w:lang w:val="en-GB"/>
        </w:rPr>
      </w:pPr>
      <w:r w:rsidRPr="00DF6A46">
        <w:rPr>
          <w:i/>
          <w:lang w:val="en-GB"/>
        </w:rPr>
        <w:lastRenderedPageBreak/>
        <w:t>Chlorella vulgaris</w:t>
      </w:r>
      <w:r w:rsidRPr="001075B7">
        <w:rPr>
          <w:lang w:val="en-GB"/>
        </w:rPr>
        <w:t xml:space="preserve"> is a spherical microalga, 2-10 </w:t>
      </w:r>
      <w:proofErr w:type="spellStart"/>
      <w:r w:rsidRPr="001075B7">
        <w:rPr>
          <w:lang w:val="en-GB"/>
        </w:rPr>
        <w:t>μm</w:t>
      </w:r>
      <w:proofErr w:type="spellEnd"/>
      <w:r w:rsidRPr="001075B7">
        <w:rPr>
          <w:lang w:val="en-GB"/>
        </w:rPr>
        <w:t xml:space="preserve"> in diameter, non-motile cell</w:t>
      </w:r>
      <w:r w:rsidR="00DF6A46">
        <w:rPr>
          <w:lang w:val="en-GB"/>
        </w:rPr>
        <w:t xml:space="preserve">, with </w:t>
      </w:r>
      <w:r w:rsidRPr="001075B7">
        <w:rPr>
          <w:lang w:val="en-GB"/>
        </w:rPr>
        <w:t>a green coloration</w:t>
      </w:r>
      <w:r w:rsidR="00DF6A46">
        <w:rPr>
          <w:lang w:val="en-GB"/>
        </w:rPr>
        <w:t>, which</w:t>
      </w:r>
      <w:r w:rsidRPr="001075B7">
        <w:rPr>
          <w:lang w:val="en-GB"/>
        </w:rPr>
        <w:t xml:space="preserve"> reproduces through binary fission via asexual spores, growing rapidly and generating an average of one cell every 24 hours (Safi et al., 2014). The main components of its algal biomass are proteins, lipids, and carbohydrates, constituting up to 90% of the total dry weight. The remaining 10% includes pigments, vitamins, and other minor components (Chois, 2014).</w:t>
      </w:r>
      <w:r w:rsidR="00DF6A46">
        <w:rPr>
          <w:lang w:val="en-GB"/>
        </w:rPr>
        <w:t xml:space="preserve"> These s</w:t>
      </w:r>
      <w:r w:rsidRPr="001075B7">
        <w:rPr>
          <w:lang w:val="en-GB"/>
        </w:rPr>
        <w:t>econdary metabolites result from amphibolic or anabolic pathways when supplied with nitrogen and phosphorus, as well as atmospheric CO</w:t>
      </w:r>
      <w:r w:rsidRPr="00D80303">
        <w:rPr>
          <w:vertAlign w:val="subscript"/>
          <w:lang w:val="en-GB"/>
        </w:rPr>
        <w:t>2</w:t>
      </w:r>
      <w:r w:rsidRPr="001075B7">
        <w:rPr>
          <w:lang w:val="en-GB"/>
        </w:rPr>
        <w:t xml:space="preserve">. Among these compounds are β-carotenoids and </w:t>
      </w:r>
      <w:r w:rsidR="00D80303" w:rsidRPr="001075B7">
        <w:rPr>
          <w:lang w:val="en-GB"/>
        </w:rPr>
        <w:t>mycosporines</w:t>
      </w:r>
      <w:r w:rsidRPr="001075B7">
        <w:rPr>
          <w:lang w:val="en-GB"/>
        </w:rPr>
        <w:t>-like amino acids (MAAs), known for their photoprotective activity in absorbing UV radiation at short wavelengths, making them effective protective agents against UV radiation (Amador-Castro et al., 2020</w:t>
      </w:r>
      <w:r w:rsidR="00A7312D">
        <w:rPr>
          <w:lang w:val="en-GB"/>
        </w:rPr>
        <w:t xml:space="preserve">; </w:t>
      </w:r>
      <w:proofErr w:type="spellStart"/>
      <w:r w:rsidR="00A7312D">
        <w:rPr>
          <w:lang w:val="en-GB"/>
        </w:rPr>
        <w:t>Yarkent</w:t>
      </w:r>
      <w:proofErr w:type="spellEnd"/>
      <w:r w:rsidR="00A7312D">
        <w:rPr>
          <w:lang w:val="en-GB"/>
        </w:rPr>
        <w:t xml:space="preserve"> et al., 2020</w:t>
      </w:r>
      <w:r w:rsidRPr="001075B7">
        <w:rPr>
          <w:lang w:val="en-GB"/>
        </w:rPr>
        <w:t xml:space="preserve">). In this context, the overall objective of this study </w:t>
      </w:r>
      <w:r w:rsidR="00D80303">
        <w:rPr>
          <w:lang w:val="en-GB"/>
        </w:rPr>
        <w:t>was</w:t>
      </w:r>
      <w:r w:rsidRPr="001075B7">
        <w:rPr>
          <w:lang w:val="en-GB"/>
        </w:rPr>
        <w:t xml:space="preserve"> to produce a sunscreen from the microalga </w:t>
      </w:r>
      <w:r w:rsidRPr="00D80303">
        <w:rPr>
          <w:i/>
          <w:iCs/>
          <w:lang w:val="en-GB"/>
        </w:rPr>
        <w:t>Chlorella vulgaris</w:t>
      </w:r>
      <w:r w:rsidRPr="001075B7">
        <w:rPr>
          <w:lang w:val="en-GB"/>
        </w:rPr>
        <w:t xml:space="preserve"> on a laboratory scale.</w:t>
      </w:r>
    </w:p>
    <w:p w14:paraId="5741900F" w14:textId="507A839A" w:rsidR="00453E24" w:rsidRDefault="00D80303" w:rsidP="00453E24">
      <w:pPr>
        <w:pStyle w:val="CETHeading1"/>
      </w:pPr>
      <w:r>
        <w:t>Methodology</w:t>
      </w:r>
    </w:p>
    <w:p w14:paraId="09406386" w14:textId="2B5E7F8E" w:rsidR="00453E24" w:rsidRDefault="00453E24" w:rsidP="00453E24">
      <w:pPr>
        <w:pStyle w:val="CETBodytext"/>
      </w:pPr>
      <w:r>
        <w:t>Th</w:t>
      </w:r>
      <w:r w:rsidR="00CD4327">
        <w:t xml:space="preserve">is section is divided in five parts: Microalgae cultivation, </w:t>
      </w:r>
      <w:r w:rsidR="004D6E1A">
        <w:t>microalgae growth</w:t>
      </w:r>
      <w:r w:rsidR="00CD4327">
        <w:t>, biomass separation, metabolites extraction</w:t>
      </w:r>
      <w:r w:rsidR="00947E59">
        <w:t xml:space="preserve"> and quantification;</w:t>
      </w:r>
      <w:r w:rsidR="00CD4327">
        <w:t xml:space="preserve"> and sunscreen formulation.</w:t>
      </w:r>
      <w:r>
        <w:t xml:space="preserve"> </w:t>
      </w:r>
    </w:p>
    <w:p w14:paraId="0636B784" w14:textId="23D05BB8" w:rsidR="00453E24" w:rsidRDefault="00CD4327" w:rsidP="00453E24">
      <w:pPr>
        <w:pStyle w:val="CETheadingx"/>
      </w:pPr>
      <w:r>
        <w:t>Microalgae cultivation</w:t>
      </w:r>
    </w:p>
    <w:p w14:paraId="1E0BFAF3" w14:textId="6422D8BC" w:rsidR="002016F4" w:rsidRDefault="00702620" w:rsidP="002016F4">
      <w:pPr>
        <w:pStyle w:val="CETBodytext"/>
      </w:pPr>
      <w:r w:rsidRPr="00702620">
        <w:rPr>
          <w:i/>
          <w:iCs/>
        </w:rPr>
        <w:t>Chlorella vulgaris</w:t>
      </w:r>
      <w:r w:rsidRPr="00702620">
        <w:t xml:space="preserve"> was </w:t>
      </w:r>
      <w:r w:rsidR="008176FC">
        <w:t>supplied by</w:t>
      </w:r>
      <w:r w:rsidRPr="00702620">
        <w:t xml:space="preserve"> microbiology laboratory at the Francisco de Paula Santander University in </w:t>
      </w:r>
      <w:proofErr w:type="spellStart"/>
      <w:r w:rsidRPr="00702620">
        <w:t>Cúcuta</w:t>
      </w:r>
      <w:proofErr w:type="spellEnd"/>
      <w:r w:rsidRPr="00702620">
        <w:t xml:space="preserve">, Colombia. It was cultivated in two </w:t>
      </w:r>
      <w:r w:rsidR="002016F4">
        <w:t xml:space="preserve">glass </w:t>
      </w:r>
      <w:r w:rsidRPr="00702620">
        <w:t>photobioreactors</w:t>
      </w:r>
      <w:r w:rsidR="002016F4">
        <w:t xml:space="preserve">, one </w:t>
      </w:r>
      <w:r w:rsidRPr="00702620">
        <w:t>under white, and</w:t>
      </w:r>
      <w:r w:rsidR="002016F4">
        <w:t xml:space="preserve"> the other under</w:t>
      </w:r>
      <w:r w:rsidRPr="00702620">
        <w:t xml:space="preserve"> red LED light lamps</w:t>
      </w:r>
      <w:r>
        <w:t xml:space="preserve"> </w:t>
      </w:r>
      <w:r w:rsidRPr="00702620">
        <w:t>to study the effect of exposure to different light spectra on cell growth and the production of secondary metabolites.</w:t>
      </w:r>
      <w:r w:rsidR="008176FC">
        <w:t xml:space="preserve"> </w:t>
      </w:r>
      <w:r w:rsidRPr="00702620">
        <w:t xml:space="preserve">In both photobioreactors, Bold Basal Medium (BBM) </w:t>
      </w:r>
      <w:r>
        <w:t xml:space="preserve">was used as culture medium </w:t>
      </w:r>
      <w:r w:rsidR="008176FC">
        <w:t>(</w:t>
      </w:r>
      <w:proofErr w:type="spellStart"/>
      <w:r w:rsidRPr="00702620">
        <w:t>Bertoloni</w:t>
      </w:r>
      <w:proofErr w:type="spellEnd"/>
      <w:r w:rsidRPr="00702620">
        <w:t xml:space="preserve">, 2022). </w:t>
      </w:r>
      <w:r>
        <w:t>It</w:t>
      </w:r>
      <w:r w:rsidRPr="00702620">
        <w:t xml:space="preserve"> was sterilized at 120 °C in a DENTOMAT brand autoclave, model Automat 3000, for 15 minutes (Arredondo &amp; Voltolina, 2007).</w:t>
      </w:r>
      <w:r>
        <w:t xml:space="preserve"> </w:t>
      </w:r>
      <w:r w:rsidR="002016F4">
        <w:t>B</w:t>
      </w:r>
      <w:r>
        <w:t>oth photobioreactors</w:t>
      </w:r>
      <w:r w:rsidR="002016F4">
        <w:t>, sealed with Parafilm to avoid contamination,</w:t>
      </w:r>
      <w:r>
        <w:t xml:space="preserve"> </w:t>
      </w:r>
      <w:r w:rsidR="002016F4">
        <w:t xml:space="preserve">had </w:t>
      </w:r>
      <w:r>
        <w:t>t</w:t>
      </w:r>
      <w:r w:rsidRPr="00702620">
        <w:t>he</w:t>
      </w:r>
      <w:r>
        <w:t xml:space="preserve"> same</w:t>
      </w:r>
      <w:r w:rsidRPr="00702620">
        <w:t xml:space="preserve"> total volume </w:t>
      </w:r>
      <w:r>
        <w:t>of</w:t>
      </w:r>
      <w:r w:rsidRPr="00702620">
        <w:t xml:space="preserve"> 150 mL, comprising 77 mL of B</w:t>
      </w:r>
      <w:r>
        <w:t>BM</w:t>
      </w:r>
      <w:r w:rsidRPr="00702620">
        <w:t>, 5 mL of microalgae, and 68 mL of deionized water</w:t>
      </w:r>
      <w:r>
        <w:t xml:space="preserve">. </w:t>
      </w:r>
      <w:r w:rsidR="008176FC">
        <w:t>C</w:t>
      </w:r>
      <w:r w:rsidR="002016F4">
        <w:t>ontinuous aeration and agitation</w:t>
      </w:r>
      <w:r w:rsidR="008176FC">
        <w:t>,</w:t>
      </w:r>
      <w:r w:rsidR="002016F4">
        <w:t xml:space="preserve"> to ensure effective light and nutrients dispersion</w:t>
      </w:r>
      <w:r w:rsidR="008176FC">
        <w:t>, was given by a fun and hoses connected to each photobioreactor</w:t>
      </w:r>
      <w:r w:rsidR="002016F4">
        <w:t>. The first photobioreactor (culture 1) was placed inside a polystyrene incubator with red light tape on its walls to provide illumination to the culture. And the second photobioreactor (culture 2) was outside the incubator and illuminated by a white LED light lamp, with an average light intensity of 125.85 Lux to the front of the culture. Culture 1 was maintained at a temperature above ambient, specifically at 19 °C, while culture 2 at 17 °C, the average ambient temperature of Bogotá. pH measurements were taken weekly, staying within the range of 8-9 for both experiments (Arredondo &amp; Voltolina, 2007).</w:t>
      </w:r>
    </w:p>
    <w:p w14:paraId="18BAFA6F" w14:textId="6AB63672" w:rsidR="00453E24" w:rsidRPr="00B57B36" w:rsidRDefault="004D6E1A" w:rsidP="00453E24">
      <w:pPr>
        <w:pStyle w:val="CETheadingx"/>
      </w:pPr>
      <w:r>
        <w:t>Microalgae growth</w:t>
      </w:r>
    </w:p>
    <w:p w14:paraId="4C3CDB3E" w14:textId="537D4E8C" w:rsidR="00454D0B" w:rsidRDefault="002016F4" w:rsidP="00453E24">
      <w:pPr>
        <w:pStyle w:val="CETBodytext"/>
        <w:rPr>
          <w:lang w:val="en-GB"/>
        </w:rPr>
      </w:pPr>
      <w:r>
        <w:rPr>
          <w:lang w:val="en-GB"/>
        </w:rPr>
        <w:t xml:space="preserve">Microalgae growth was monitored by </w:t>
      </w:r>
      <w:r w:rsidR="00454D0B" w:rsidRPr="00454D0B">
        <w:rPr>
          <w:lang w:val="en-GB"/>
        </w:rPr>
        <w:t xml:space="preserve">measuring the optical density of each culture at a wavelength of 640 nm using a UV/VIS spectrophotometer, THERMOSPECTRONIC model Genesis 20. This wavelength was chosen for its proximity to the chlorophyll absorption peak (675 nm), allowing measurements even at minimal cellular concentrations (Arredondo &amp; Voltolina, 2007). </w:t>
      </w:r>
      <w:r w:rsidR="00454D0B">
        <w:rPr>
          <w:lang w:val="en-GB"/>
        </w:rPr>
        <w:t xml:space="preserve">These measurements were taken, by triplicate, </w:t>
      </w:r>
      <w:r w:rsidR="00454D0B" w:rsidRPr="00454D0B">
        <w:rPr>
          <w:lang w:val="en-GB"/>
        </w:rPr>
        <w:t>every two days</w:t>
      </w:r>
      <w:r w:rsidR="00454D0B">
        <w:rPr>
          <w:lang w:val="en-GB"/>
        </w:rPr>
        <w:t>.</w:t>
      </w:r>
      <w:r w:rsidR="00D04435">
        <w:rPr>
          <w:lang w:val="en-GB"/>
        </w:rPr>
        <w:t xml:space="preserve"> </w:t>
      </w:r>
      <w:r w:rsidR="00454D0B">
        <w:rPr>
          <w:lang w:val="en-GB"/>
        </w:rPr>
        <w:t>T</w:t>
      </w:r>
      <w:r w:rsidR="00454D0B" w:rsidRPr="00454D0B">
        <w:rPr>
          <w:lang w:val="en-GB"/>
        </w:rPr>
        <w:t xml:space="preserve">he specific growth rate </w:t>
      </w:r>
      <w:r w:rsidR="00D04435">
        <w:rPr>
          <w:lang w:val="en-GB"/>
        </w:rPr>
        <w:t>in</w:t>
      </w:r>
      <w:r w:rsidR="00454D0B" w:rsidRPr="00454D0B">
        <w:rPr>
          <w:lang w:val="en-GB"/>
        </w:rPr>
        <w:t xml:space="preserve"> the exponential growth phase was </w:t>
      </w:r>
      <w:r w:rsidR="00454D0B">
        <w:rPr>
          <w:lang w:val="en-GB"/>
        </w:rPr>
        <w:t>calculated</w:t>
      </w:r>
      <w:r w:rsidR="00454D0B" w:rsidRPr="00454D0B">
        <w:rPr>
          <w:lang w:val="en-GB"/>
        </w:rPr>
        <w:t xml:space="preserve"> </w:t>
      </w:r>
      <w:r w:rsidR="00D04435">
        <w:rPr>
          <w:lang w:val="en-GB"/>
        </w:rPr>
        <w:t>by</w:t>
      </w:r>
      <w:r w:rsidR="00454D0B" w:rsidRPr="00454D0B">
        <w:rPr>
          <w:lang w:val="en-GB"/>
        </w:rPr>
        <w:t xml:space="preserve"> equation</w:t>
      </w:r>
      <w:r w:rsidR="00D04435">
        <w:rPr>
          <w:lang w:val="en-GB"/>
        </w:rPr>
        <w:t xml:space="preserve"> (1)</w:t>
      </w:r>
      <w:r w:rsidR="00454D0B" w:rsidRPr="00454D0B">
        <w:rPr>
          <w:lang w:val="en-GB"/>
        </w:rPr>
        <w:t xml:space="preserve"> (</w:t>
      </w:r>
      <w:proofErr w:type="spellStart"/>
      <w:r w:rsidR="00454D0B" w:rsidRPr="00454D0B">
        <w:rPr>
          <w:lang w:val="en-GB"/>
        </w:rPr>
        <w:t>Metsoviti</w:t>
      </w:r>
      <w:proofErr w:type="spellEnd"/>
      <w:r w:rsidR="00454D0B" w:rsidRPr="00454D0B">
        <w:rPr>
          <w:lang w:val="en-GB"/>
        </w:rPr>
        <w:t xml:space="preserve"> et al., 2019):</w:t>
      </w:r>
    </w:p>
    <w:tbl>
      <w:tblPr>
        <w:tblW w:w="5000" w:type="pct"/>
        <w:tblLook w:val="04A0" w:firstRow="1" w:lastRow="0" w:firstColumn="1" w:lastColumn="0" w:noHBand="0" w:noVBand="1"/>
      </w:tblPr>
      <w:tblGrid>
        <w:gridCol w:w="7983"/>
        <w:gridCol w:w="804"/>
      </w:tblGrid>
      <w:tr w:rsidR="00C538D9" w:rsidRPr="00C538D9" w14:paraId="402BE6F7" w14:textId="77777777" w:rsidTr="00072384">
        <w:tc>
          <w:tcPr>
            <w:tcW w:w="8188" w:type="dxa"/>
            <w:shd w:val="clear" w:color="auto" w:fill="auto"/>
            <w:vAlign w:val="center"/>
          </w:tcPr>
          <w:p w14:paraId="2E56FCEC" w14:textId="374BE878" w:rsidR="00C538D9" w:rsidRPr="00AB3A19" w:rsidRDefault="00000000" w:rsidP="00C538D9">
            <w:pPr>
              <w:pStyle w:val="CETEquation"/>
            </w:pPr>
            <m:oMathPara>
              <m:oMathParaPr>
                <m:jc m:val="left"/>
              </m:oMathParaPr>
              <m:oMath>
                <m:sSub>
                  <m:sSubPr>
                    <m:ctrlPr>
                      <w:rPr>
                        <w:rFonts w:ascii="Cambria Math" w:hAnsi="Cambria Math"/>
                      </w:rPr>
                    </m:ctrlPr>
                  </m:sSubPr>
                  <m:e>
                    <m:r>
                      <w:rPr>
                        <w:rFonts w:ascii="Cambria Math" w:hAnsi="Cambria Math"/>
                      </w:rPr>
                      <m:t>μ</m:t>
                    </m:r>
                  </m:e>
                  <m:sub>
                    <m:r>
                      <w:rPr>
                        <w:rFonts w:ascii="Cambria Math" w:hAnsi="Cambria Math"/>
                      </w:rPr>
                      <m:t>exp</m:t>
                    </m:r>
                  </m:sub>
                </m:sSub>
                <m:r>
                  <m:rPr>
                    <m:sty m:val="p"/>
                  </m:rPr>
                  <w:rPr>
                    <w:rFonts w:ascii="Cambria Math" w:hAnsi="Cambria Math"/>
                  </w:rPr>
                  <m:t>=</m:t>
                </m:r>
                <m:f>
                  <m:fPr>
                    <m:ctrlPr>
                      <w:rPr>
                        <w:rFonts w:ascii="Cambria Math" w:hAnsi="Cambria Math"/>
                      </w:rPr>
                    </m:ctrlPr>
                  </m:fPr>
                  <m:num>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α</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α</m:t>
                                    </m:r>
                                  </m:e>
                                  <m:sub>
                                    <m:r>
                                      <m:rPr>
                                        <m:sty m:val="p"/>
                                      </m:rPr>
                                      <w:rPr>
                                        <w:rFonts w:ascii="Cambria Math" w:hAnsi="Cambria Math"/>
                                      </w:rPr>
                                      <m:t>1</m:t>
                                    </m:r>
                                  </m:sub>
                                </m:sSub>
                              </m:den>
                            </m:f>
                          </m:e>
                        </m:d>
                      </m:e>
                    </m:func>
                  </m:num>
                  <m:den>
                    <m:d>
                      <m:dPr>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e>
                    </m:d>
                  </m:den>
                </m:f>
              </m:oMath>
            </m:oMathPara>
          </w:p>
        </w:tc>
        <w:tc>
          <w:tcPr>
            <w:tcW w:w="815" w:type="dxa"/>
            <w:shd w:val="clear" w:color="auto" w:fill="auto"/>
            <w:vAlign w:val="center"/>
          </w:tcPr>
          <w:p w14:paraId="5A31B64F" w14:textId="77777777" w:rsidR="00C538D9" w:rsidRPr="00C538D9" w:rsidRDefault="00C538D9" w:rsidP="00C538D9">
            <w:pPr>
              <w:pStyle w:val="CETEquation"/>
            </w:pPr>
            <w:r w:rsidRPr="00C538D9">
              <w:t>(1)</w:t>
            </w:r>
          </w:p>
        </w:tc>
      </w:tr>
    </w:tbl>
    <w:p w14:paraId="3930A5B0" w14:textId="44624ED0" w:rsidR="00C538D9" w:rsidRDefault="00000000" w:rsidP="00453E24">
      <w:pPr>
        <w:pStyle w:val="CETBodytext"/>
      </w:pPr>
      <m:oMath>
        <m:sSub>
          <m:sSubPr>
            <m:ctrlPr>
              <w:rPr>
                <w:rFonts w:ascii="Cambria Math" w:hAnsi="Cambria Math"/>
              </w:rPr>
            </m:ctrlPr>
          </m:sSubPr>
          <m:e>
            <m:r>
              <w:rPr>
                <w:rFonts w:ascii="Cambria Math" w:hAnsi="Cambria Math"/>
              </w:rPr>
              <m:t>α</m:t>
            </m:r>
          </m:e>
          <m:sub>
            <m:r>
              <m:rPr>
                <m:sty m:val="p"/>
              </m:rPr>
              <w:rPr>
                <w:rFonts w:ascii="Cambria Math" w:hAnsi="Cambria Math"/>
              </w:rPr>
              <m:t>1</m:t>
            </m:r>
          </m:sub>
        </m:sSub>
      </m:oMath>
      <w:r w:rsidR="00AB3A19">
        <w:t xml:space="preserve"> and </w:t>
      </w:r>
      <m:oMath>
        <m:sSub>
          <m:sSubPr>
            <m:ctrlPr>
              <w:rPr>
                <w:rFonts w:ascii="Cambria Math" w:hAnsi="Cambria Math"/>
              </w:rPr>
            </m:ctrlPr>
          </m:sSubPr>
          <m:e>
            <m:r>
              <w:rPr>
                <w:rFonts w:ascii="Cambria Math" w:hAnsi="Cambria Math"/>
              </w:rPr>
              <m:t>α</m:t>
            </m:r>
          </m:e>
          <m:sub>
            <m:r>
              <m:rPr>
                <m:sty m:val="p"/>
              </m:rPr>
              <w:rPr>
                <w:rFonts w:ascii="Cambria Math" w:hAnsi="Cambria Math"/>
              </w:rPr>
              <m:t>3</m:t>
            </m:r>
          </m:sub>
        </m:sSub>
      </m:oMath>
      <w:r w:rsidR="00AB3A19">
        <w:t xml:space="preserve"> </w:t>
      </w:r>
      <w:r w:rsidR="00D04435">
        <w:t>are</w:t>
      </w:r>
      <w:r w:rsidR="00AB3A19">
        <w:t xml:space="preserve"> the</w:t>
      </w:r>
      <w:r w:rsidR="004D6E1A">
        <w:t xml:space="preserve"> optical </w:t>
      </w:r>
      <w:r w:rsidR="00D04435">
        <w:t xml:space="preserve">densities </w:t>
      </w:r>
      <w:r w:rsidR="004D6E1A">
        <w:t>at the beginning and at the end of the exponential growth phase.</w:t>
      </w:r>
    </w:p>
    <w:p w14:paraId="219C7ACE" w14:textId="764B8B8B" w:rsidR="004D6E1A" w:rsidRPr="00B57B36" w:rsidRDefault="004D6E1A" w:rsidP="004D6E1A">
      <w:pPr>
        <w:pStyle w:val="CETheadingx"/>
      </w:pPr>
      <w:r>
        <w:t>Biomass separation</w:t>
      </w:r>
    </w:p>
    <w:p w14:paraId="732A312C" w14:textId="42E95AC0" w:rsidR="004D6E1A" w:rsidRDefault="008176FC" w:rsidP="004D6E1A">
      <w:pPr>
        <w:pStyle w:val="CETBodytext"/>
        <w:rPr>
          <w:lang w:val="en-GB"/>
        </w:rPr>
      </w:pPr>
      <w:r>
        <w:rPr>
          <w:lang w:val="en-GB"/>
        </w:rPr>
        <w:t>S</w:t>
      </w:r>
      <w:r w:rsidR="004D6E1A" w:rsidRPr="004D6E1A">
        <w:rPr>
          <w:lang w:val="en-GB"/>
        </w:rPr>
        <w:t>olid biomass</w:t>
      </w:r>
      <w:r>
        <w:rPr>
          <w:lang w:val="en-GB"/>
        </w:rPr>
        <w:t xml:space="preserve"> was separated</w:t>
      </w:r>
      <w:r w:rsidR="004D6E1A" w:rsidRPr="004D6E1A">
        <w:rPr>
          <w:lang w:val="en-GB"/>
        </w:rPr>
        <w:t xml:space="preserve"> from the liquid medium</w:t>
      </w:r>
      <w:r w:rsidR="004D6E1A">
        <w:rPr>
          <w:lang w:val="en-GB"/>
        </w:rPr>
        <w:t>,</w:t>
      </w:r>
      <w:r w:rsidR="004D6E1A" w:rsidRPr="004D6E1A">
        <w:rPr>
          <w:lang w:val="en-GB"/>
        </w:rPr>
        <w:t xml:space="preserve"> in a TECNAL centrifuge model 206-baby I for 15 minutes at 3000 rpm</w:t>
      </w:r>
      <w:r w:rsidR="004D6E1A">
        <w:rPr>
          <w:lang w:val="en-GB"/>
        </w:rPr>
        <w:t>. S</w:t>
      </w:r>
      <w:r w:rsidR="004D6E1A" w:rsidRPr="004D6E1A">
        <w:rPr>
          <w:lang w:val="en-GB"/>
        </w:rPr>
        <w:t xml:space="preserve">upernatant was discarded, and the precipitate was collected. </w:t>
      </w:r>
      <w:r>
        <w:rPr>
          <w:lang w:val="en-GB"/>
        </w:rPr>
        <w:t>A</w:t>
      </w:r>
      <w:r w:rsidR="004D6E1A" w:rsidRPr="004D6E1A">
        <w:rPr>
          <w:lang w:val="en-GB"/>
        </w:rPr>
        <w:t xml:space="preserve"> </w:t>
      </w:r>
      <w:r w:rsidR="004D6E1A">
        <w:rPr>
          <w:lang w:val="en-GB"/>
        </w:rPr>
        <w:t xml:space="preserve">further </w:t>
      </w:r>
      <w:r w:rsidR="004D6E1A" w:rsidRPr="004D6E1A">
        <w:rPr>
          <w:lang w:val="en-GB"/>
        </w:rPr>
        <w:t>drying process was necessary. The samples were placed in a</w:t>
      </w:r>
      <w:r w:rsidR="004D6E1A">
        <w:rPr>
          <w:lang w:val="en-GB"/>
        </w:rPr>
        <w:t>n</w:t>
      </w:r>
      <w:r w:rsidR="004D6E1A" w:rsidRPr="004D6E1A">
        <w:rPr>
          <w:lang w:val="en-GB"/>
        </w:rPr>
        <w:t xml:space="preserve"> oven BINDER model IP20 at 65 °C for 2 hours. The recovered dry biomass was milled and stored at -15 °C (</w:t>
      </w:r>
      <w:proofErr w:type="spellStart"/>
      <w:r w:rsidR="004D6E1A" w:rsidRPr="004D6E1A">
        <w:rPr>
          <w:lang w:val="en-GB"/>
        </w:rPr>
        <w:t>Outon</w:t>
      </w:r>
      <w:proofErr w:type="spellEnd"/>
      <w:r w:rsidR="004D6E1A" w:rsidRPr="004D6E1A">
        <w:rPr>
          <w:lang w:val="en-GB"/>
        </w:rPr>
        <w:t xml:space="preserve">, 2019) and </w:t>
      </w:r>
      <w:r w:rsidR="004D6E1A">
        <w:rPr>
          <w:lang w:val="en-GB"/>
        </w:rPr>
        <w:t>divided</w:t>
      </w:r>
      <w:r w:rsidR="004D6E1A" w:rsidRPr="004D6E1A">
        <w:rPr>
          <w:lang w:val="en-GB"/>
        </w:rPr>
        <w:t xml:space="preserve"> into different quantities for use in dry weight determination, extraction, quantification of target metabolites, and sunscreen production.</w:t>
      </w:r>
      <w:r w:rsidR="00D04435">
        <w:rPr>
          <w:lang w:val="en-GB"/>
        </w:rPr>
        <w:t xml:space="preserve"> </w:t>
      </w:r>
      <w:r w:rsidR="004D6E1A" w:rsidRPr="004D6E1A">
        <w:rPr>
          <w:lang w:val="en-GB"/>
        </w:rPr>
        <w:t>Dry weight (in g L</w:t>
      </w:r>
      <w:r w:rsidR="004D6E1A" w:rsidRPr="00E763CF">
        <w:rPr>
          <w:vertAlign w:val="superscript"/>
          <w:lang w:val="en-GB"/>
        </w:rPr>
        <w:t>-1</w:t>
      </w:r>
      <w:r w:rsidR="004D6E1A" w:rsidRPr="004D6E1A">
        <w:rPr>
          <w:lang w:val="en-GB"/>
        </w:rPr>
        <w:t>) and productivity (in g L</w:t>
      </w:r>
      <w:r w:rsidR="004D6E1A" w:rsidRPr="00E763CF">
        <w:rPr>
          <w:vertAlign w:val="superscript"/>
          <w:lang w:val="en-GB"/>
        </w:rPr>
        <w:t>-1</w:t>
      </w:r>
      <w:r w:rsidR="004D6E1A" w:rsidRPr="004D6E1A">
        <w:rPr>
          <w:lang w:val="en-GB"/>
        </w:rPr>
        <w:t xml:space="preserve"> d</w:t>
      </w:r>
      <w:r w:rsidR="004D6E1A" w:rsidRPr="00E763CF">
        <w:rPr>
          <w:vertAlign w:val="superscript"/>
          <w:lang w:val="en-GB"/>
        </w:rPr>
        <w:t>-1</w:t>
      </w:r>
      <w:r w:rsidR="004D6E1A" w:rsidRPr="004D6E1A">
        <w:rPr>
          <w:lang w:val="en-GB"/>
        </w:rPr>
        <w:t xml:space="preserve">) were </w:t>
      </w:r>
      <w:r>
        <w:rPr>
          <w:lang w:val="en-GB"/>
        </w:rPr>
        <w:t>calculated</w:t>
      </w:r>
      <w:r w:rsidR="004D6E1A" w:rsidRPr="004D6E1A">
        <w:rPr>
          <w:lang w:val="en-GB"/>
        </w:rPr>
        <w:t xml:space="preserve"> using the following equations (Geraldin et al., 2019)</w:t>
      </w:r>
      <w:r w:rsidR="006F28FD">
        <w:rPr>
          <w:lang w:val="en-GB"/>
        </w:rPr>
        <w:t xml:space="preserve"> where </w:t>
      </w:r>
      <m:oMath>
        <m:sSub>
          <m:sSubPr>
            <m:ctrlPr>
              <w:rPr>
                <w:rFonts w:ascii="Cambria Math" w:hAnsi="Cambria Math" w:cs="Arial"/>
              </w:rPr>
            </m:ctrlPr>
          </m:sSubPr>
          <m:e>
            <m:r>
              <w:rPr>
                <w:rFonts w:ascii="Cambria Math" w:hAnsi="Cambria Math" w:cs="Arial"/>
              </w:rPr>
              <m:t>m</m:t>
            </m:r>
          </m:e>
          <m:sub>
            <m:r>
              <m:rPr>
                <m:sty m:val="p"/>
              </m:rPr>
              <w:rPr>
                <w:rFonts w:ascii="Cambria Math" w:hAnsi="Cambria Math" w:cs="Arial"/>
              </w:rPr>
              <m:t>1</m:t>
            </m:r>
          </m:sub>
        </m:sSub>
      </m:oMath>
      <w:r w:rsidR="006F28FD">
        <w:t xml:space="preserve"> is the weight of filled container, </w:t>
      </w:r>
      <m:oMath>
        <m:sSub>
          <m:sSubPr>
            <m:ctrlPr>
              <w:rPr>
                <w:rFonts w:ascii="Cambria Math" w:hAnsi="Cambria Math" w:cs="Arial"/>
              </w:rPr>
            </m:ctrlPr>
          </m:sSubPr>
          <m:e>
            <m:r>
              <w:rPr>
                <w:rFonts w:ascii="Cambria Math" w:hAnsi="Cambria Math" w:cs="Arial"/>
              </w:rPr>
              <m:t>m</m:t>
            </m:r>
          </m:e>
          <m:sub>
            <m:r>
              <w:rPr>
                <w:rFonts w:ascii="Cambria Math" w:hAnsi="Cambria Math" w:cs="Arial"/>
              </w:rPr>
              <m:t>0</m:t>
            </m:r>
          </m:sub>
        </m:sSub>
      </m:oMath>
      <w:r w:rsidR="006F28FD">
        <w:t xml:space="preserve"> is the weight of empty container, </w:t>
      </w:r>
      <m:oMath>
        <m:sSub>
          <m:sSubPr>
            <m:ctrlPr>
              <w:rPr>
                <w:rFonts w:ascii="Cambria Math" w:hAnsi="Cambria Math" w:cs="Arial"/>
              </w:rPr>
            </m:ctrlPr>
          </m:sSubPr>
          <m:e>
            <m:r>
              <w:rPr>
                <w:rFonts w:ascii="Cambria Math" w:hAnsi="Cambria Math" w:cs="Arial"/>
              </w:rPr>
              <m:t>V</m:t>
            </m:r>
          </m:e>
          <m:sub>
            <m:r>
              <w:rPr>
                <w:rFonts w:ascii="Cambria Math" w:hAnsi="Cambria Math" w:cs="Arial"/>
              </w:rPr>
              <m:t>culture</m:t>
            </m:r>
          </m:sub>
        </m:sSub>
      </m:oMath>
      <w:r w:rsidR="006F28FD">
        <w:t xml:space="preserve"> is the total volume of microalgae culture, including medium, at the end of the cultivation; and, t is the cultivation time</w:t>
      </w:r>
      <w:r w:rsidR="004D6E1A" w:rsidRPr="004D6E1A">
        <w:rPr>
          <w:lang w:val="en-GB"/>
        </w:rPr>
        <w:t>:</w:t>
      </w:r>
    </w:p>
    <w:tbl>
      <w:tblPr>
        <w:tblW w:w="5000" w:type="pct"/>
        <w:tblLook w:val="04A0" w:firstRow="1" w:lastRow="0" w:firstColumn="1" w:lastColumn="0" w:noHBand="0" w:noVBand="1"/>
      </w:tblPr>
      <w:tblGrid>
        <w:gridCol w:w="7984"/>
        <w:gridCol w:w="803"/>
      </w:tblGrid>
      <w:tr w:rsidR="00E763CF" w:rsidRPr="00C538D9" w14:paraId="5DC7EF30" w14:textId="77777777" w:rsidTr="00D04435">
        <w:tc>
          <w:tcPr>
            <w:tcW w:w="7984" w:type="dxa"/>
            <w:shd w:val="clear" w:color="auto" w:fill="auto"/>
            <w:vAlign w:val="center"/>
          </w:tcPr>
          <w:p w14:paraId="02211F23" w14:textId="26B65D70" w:rsidR="00E763CF" w:rsidRPr="008176FC" w:rsidRDefault="00E763CF" w:rsidP="008176FC">
            <w:pPr>
              <w:pStyle w:val="CETEquation"/>
              <w:rPr>
                <w:rFonts w:cs="Arial"/>
              </w:rPr>
            </w:pPr>
            <m:oMathPara>
              <m:oMathParaPr>
                <m:jc m:val="left"/>
              </m:oMathParaPr>
              <m:oMath>
                <m:r>
                  <w:rPr>
                    <w:rFonts w:ascii="Cambria Math" w:hAnsi="Cambria Math" w:cs="Arial"/>
                  </w:rPr>
                  <m:t>Dry</m:t>
                </m:r>
                <m:r>
                  <m:rPr>
                    <m:sty m:val="p"/>
                  </m:rPr>
                  <w:rPr>
                    <w:rFonts w:ascii="Cambria Math" w:hAnsi="Cambria Math" w:cs="Arial"/>
                  </w:rPr>
                  <m:t xml:space="preserve"> </m:t>
                </m:r>
                <m:r>
                  <w:rPr>
                    <w:rFonts w:ascii="Cambria Math" w:hAnsi="Cambria Math" w:cs="Arial"/>
                  </w:rPr>
                  <m:t>weight</m:t>
                </m:r>
                <m:r>
                  <m:rPr>
                    <m:sty m:val="p"/>
                  </m:rPr>
                  <w:rPr>
                    <w:rFonts w:ascii="Cambria Math" w:hAnsi="Cambria Math" w:cs="Arial"/>
                  </w:rPr>
                  <m:t xml:space="preserve"> (</m:t>
                </m:r>
                <m:r>
                  <w:rPr>
                    <w:rFonts w:ascii="Cambria Math" w:hAnsi="Cambria Math" w:cs="Arial"/>
                  </w:rPr>
                  <m:t>g</m:t>
                </m:r>
                <m:r>
                  <m:rPr>
                    <m:sty m:val="p"/>
                  </m:rPr>
                  <w:rPr>
                    <w:rFonts w:ascii="Cambria Math" w:hAnsi="Cambria Math" w:cs="Arial"/>
                  </w:rPr>
                  <m:t xml:space="preserve"> </m:t>
                </m:r>
                <m:sSup>
                  <m:sSupPr>
                    <m:ctrlPr>
                      <w:rPr>
                        <w:rFonts w:ascii="Cambria Math" w:hAnsi="Cambria Math" w:cs="Arial"/>
                      </w:rPr>
                    </m:ctrlPr>
                  </m:sSupPr>
                  <m:e>
                    <m:r>
                      <w:rPr>
                        <w:rFonts w:ascii="Cambria Math" w:hAnsi="Cambria Math" w:cs="Arial"/>
                      </w:rPr>
                      <m:t>L</m:t>
                    </m:r>
                  </m:e>
                  <m:sup>
                    <m:r>
                      <m:rPr>
                        <m:sty m:val="p"/>
                      </m:rPr>
                      <w:rPr>
                        <w:rFonts w:ascii="Cambria Math" w:hAnsi="Cambria Math" w:cs="Arial"/>
                      </w:rPr>
                      <m:t>-1</m:t>
                    </m:r>
                  </m:sup>
                </m:sSup>
                <m:r>
                  <m:rPr>
                    <m:sty m:val="p"/>
                  </m:rP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m</m:t>
                        </m:r>
                      </m:e>
                      <m:sub>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m</m:t>
                        </m:r>
                      </m:e>
                      <m:sub>
                        <m:r>
                          <m:rPr>
                            <m:sty m:val="p"/>
                          </m:rPr>
                          <w:rPr>
                            <w:rFonts w:ascii="Cambria Math" w:hAnsi="Cambria Math" w:cs="Arial"/>
                          </w:rPr>
                          <m:t>0</m:t>
                        </m:r>
                      </m:sub>
                    </m:sSub>
                  </m:num>
                  <m:den>
                    <m:sSub>
                      <m:sSubPr>
                        <m:ctrlPr>
                          <w:rPr>
                            <w:rFonts w:ascii="Cambria Math" w:hAnsi="Cambria Math" w:cs="Arial"/>
                          </w:rPr>
                        </m:ctrlPr>
                      </m:sSubPr>
                      <m:e>
                        <m:r>
                          <w:rPr>
                            <w:rFonts w:ascii="Cambria Math" w:hAnsi="Cambria Math" w:cs="Arial"/>
                          </w:rPr>
                          <m:t>V</m:t>
                        </m:r>
                      </m:e>
                      <m:sub>
                        <m:r>
                          <w:rPr>
                            <w:rFonts w:ascii="Cambria Math" w:hAnsi="Cambria Math" w:cs="Arial"/>
                          </w:rPr>
                          <m:t>culture</m:t>
                        </m:r>
                      </m:sub>
                    </m:sSub>
                  </m:den>
                </m:f>
              </m:oMath>
            </m:oMathPara>
          </w:p>
        </w:tc>
        <w:tc>
          <w:tcPr>
            <w:tcW w:w="803" w:type="dxa"/>
            <w:shd w:val="clear" w:color="auto" w:fill="auto"/>
            <w:vAlign w:val="center"/>
          </w:tcPr>
          <w:p w14:paraId="4BB44500" w14:textId="5C01CEBF" w:rsidR="00E763CF" w:rsidRPr="00C538D9" w:rsidRDefault="00E763CF" w:rsidP="00072384">
            <w:pPr>
              <w:pStyle w:val="CETEquation"/>
            </w:pPr>
            <w:r w:rsidRPr="00C538D9">
              <w:t>(</w:t>
            </w:r>
            <w:r>
              <w:t>2</w:t>
            </w:r>
            <w:r w:rsidRPr="00C538D9">
              <w:t>)</w:t>
            </w:r>
          </w:p>
        </w:tc>
      </w:tr>
      <w:tr w:rsidR="00E763CF" w:rsidRPr="00C538D9" w14:paraId="2B895FCB" w14:textId="77777777" w:rsidTr="00D04435">
        <w:tc>
          <w:tcPr>
            <w:tcW w:w="7984" w:type="dxa"/>
            <w:shd w:val="clear" w:color="auto" w:fill="auto"/>
            <w:vAlign w:val="center"/>
          </w:tcPr>
          <w:p w14:paraId="69E3A970" w14:textId="56EFEBEC" w:rsidR="00E763CF" w:rsidRPr="008176FC" w:rsidRDefault="008176FC" w:rsidP="008176FC">
            <w:pPr>
              <w:pStyle w:val="CETEquation"/>
              <w:rPr>
                <w:i/>
              </w:rPr>
            </w:pPr>
            <m:oMathPara>
              <m:oMathParaPr>
                <m:jc m:val="left"/>
              </m:oMathParaPr>
              <m:oMath>
                <m:r>
                  <w:rPr>
                    <w:rFonts w:ascii="Cambria Math" w:hAnsi="Cambria Math"/>
                  </w:rPr>
                  <m:t xml:space="preserve">Productivity </m:t>
                </m:r>
                <m:d>
                  <m:dPr>
                    <m:ctrlPr>
                      <w:rPr>
                        <w:rFonts w:ascii="Cambria Math" w:hAnsi="Cambria Math"/>
                        <w:i/>
                      </w:rPr>
                    </m:ctrlPr>
                  </m:dPr>
                  <m:e>
                    <m:r>
                      <w:rPr>
                        <w:rFonts w:ascii="Cambria Math" w:hAnsi="Cambria Math"/>
                      </w:rPr>
                      <m:t xml:space="preserve">g </m:t>
                    </m:r>
                    <m:sSup>
                      <m:sSupPr>
                        <m:ctrlPr>
                          <w:rPr>
                            <w:rFonts w:ascii="Cambria Math" w:hAnsi="Cambria Math"/>
                            <w:i/>
                          </w:rPr>
                        </m:ctrlPr>
                      </m:sSupPr>
                      <m:e>
                        <m:r>
                          <w:rPr>
                            <w:rFonts w:ascii="Cambria Math" w:hAnsi="Cambria Math"/>
                          </w:rPr>
                          <m:t>L</m:t>
                        </m:r>
                      </m:e>
                      <m:sup>
                        <m:r>
                          <w:rPr>
                            <w:rFonts w:ascii="Cambria Math" w:hAnsi="Cambria Math"/>
                          </w:rPr>
                          <m:t>-1</m:t>
                        </m:r>
                      </m:sup>
                    </m:sSup>
                    <m:sSup>
                      <m:sSupPr>
                        <m:ctrlPr>
                          <w:rPr>
                            <w:rFonts w:ascii="Cambria Math" w:hAnsi="Cambria Math"/>
                            <w:i/>
                          </w:rPr>
                        </m:ctrlPr>
                      </m:sSupPr>
                      <m:e>
                        <m:r>
                          <w:rPr>
                            <w:rFonts w:ascii="Cambria Math" w:hAnsi="Cambria Math"/>
                          </w:rPr>
                          <m:t>d</m:t>
                        </m:r>
                      </m:e>
                      <m:sup>
                        <m:r>
                          <w:rPr>
                            <w:rFonts w:ascii="Cambria Math" w:hAnsi="Cambria Math"/>
                          </w:rPr>
                          <m:t>-1</m:t>
                        </m:r>
                      </m:sup>
                    </m:sSup>
                  </m:e>
                </m:d>
                <m:r>
                  <w:rPr>
                    <w:rFonts w:ascii="Cambria Math" w:hAnsi="Cambria Math"/>
                  </w:rPr>
                  <m:t>=</m:t>
                </m:r>
                <m:f>
                  <m:fPr>
                    <m:ctrlPr>
                      <w:rPr>
                        <w:rFonts w:ascii="Cambria Math" w:hAnsi="Cambria Math"/>
                        <w:i/>
                      </w:rPr>
                    </m:ctrlPr>
                  </m:fPr>
                  <m:num>
                    <m:r>
                      <w:rPr>
                        <w:rFonts w:ascii="Cambria Math" w:hAnsi="Cambria Math"/>
                      </w:rPr>
                      <m:t>Dry weight</m:t>
                    </m:r>
                  </m:num>
                  <m:den>
                    <m:sSub>
                      <m:sSubPr>
                        <m:ctrlPr>
                          <w:rPr>
                            <w:rFonts w:ascii="Cambria Math" w:hAnsi="Cambria Math"/>
                            <w:i/>
                          </w:rPr>
                        </m:ctrlPr>
                      </m:sSubPr>
                      <m:e>
                        <m:r>
                          <w:rPr>
                            <w:rFonts w:ascii="Cambria Math" w:hAnsi="Cambria Math"/>
                          </w:rPr>
                          <m:t>V</m:t>
                        </m:r>
                      </m:e>
                      <m:sub>
                        <m:r>
                          <w:rPr>
                            <w:rFonts w:ascii="Cambria Math" w:hAnsi="Cambria Math"/>
                          </w:rPr>
                          <m:t>culture</m:t>
                        </m:r>
                      </m:sub>
                    </m:sSub>
                    <m:r>
                      <w:rPr>
                        <w:rFonts w:ascii="Cambria Math" w:hAnsi="Cambria Math"/>
                      </w:rPr>
                      <m:t>*t</m:t>
                    </m:r>
                  </m:den>
                </m:f>
              </m:oMath>
            </m:oMathPara>
          </w:p>
        </w:tc>
        <w:tc>
          <w:tcPr>
            <w:tcW w:w="803" w:type="dxa"/>
            <w:shd w:val="clear" w:color="auto" w:fill="auto"/>
            <w:vAlign w:val="center"/>
          </w:tcPr>
          <w:p w14:paraId="5DE81563" w14:textId="695A6AAD" w:rsidR="00E763CF" w:rsidRPr="00C538D9" w:rsidRDefault="00E763CF" w:rsidP="00072384">
            <w:pPr>
              <w:pStyle w:val="CETEquation"/>
            </w:pPr>
            <w:r w:rsidRPr="00C538D9">
              <w:t>(</w:t>
            </w:r>
            <w:r>
              <w:t>3</w:t>
            </w:r>
            <w:r w:rsidRPr="00C538D9">
              <w:t>)</w:t>
            </w:r>
          </w:p>
        </w:tc>
      </w:tr>
    </w:tbl>
    <w:p w14:paraId="0C23613D" w14:textId="1DE6F518" w:rsidR="00E763CF" w:rsidRPr="00B57B36" w:rsidRDefault="00E763CF" w:rsidP="00E763CF">
      <w:pPr>
        <w:pStyle w:val="CETheadingx"/>
      </w:pPr>
      <w:r>
        <w:lastRenderedPageBreak/>
        <w:t>Metabolites extraction and quantification</w:t>
      </w:r>
    </w:p>
    <w:p w14:paraId="085EAB81" w14:textId="1BA1F49B" w:rsidR="00E763CF" w:rsidRDefault="00E763CF" w:rsidP="004D6E1A">
      <w:pPr>
        <w:pStyle w:val="CETBodytext"/>
        <w:rPr>
          <w:lang w:val="en-GB"/>
        </w:rPr>
      </w:pPr>
      <w:r w:rsidRPr="00E763CF">
        <w:rPr>
          <w:lang w:val="en-GB"/>
        </w:rPr>
        <w:t xml:space="preserve">Beta-carotenoids were extracted and quantified 45 days after the initiation of the culture and following the acquisition of dry microalgal biomass, following the standardized protocol by Ibanez (2018). The dry biomass used for this process was obtained from the culture exposed to white LED light, as the quantity obtained from the red LED culture was insufficient for analysis. Initially, using an analytical balance (RADWAG model AS-220/C/2), 0.1 g of dry microalgal biomass was weighed and added to a 15 mL Falcon tube containing 7 mL of the extraction solution (90% acetone). The mixture underwent manual agitation for 30 seconds followed by ultrasonic bath treatment for 10 minutes. </w:t>
      </w:r>
      <w:r w:rsidR="00544D5E">
        <w:rPr>
          <w:lang w:val="en-GB"/>
        </w:rPr>
        <w:t>After this</w:t>
      </w:r>
      <w:r w:rsidRPr="00E763CF">
        <w:rPr>
          <w:lang w:val="en-GB"/>
        </w:rPr>
        <w:t>, it was centrifuged using a TECNAL centrifuge model 206-baby I for 20 minutes at 3200 rpm. The supernatant was collected in a 25 mL volumetric flask, and the process was repeated twice until the matrix decolorization was achieved (Ibanez, 2018)</w:t>
      </w:r>
      <w:r w:rsidR="00C17692">
        <w:rPr>
          <w:lang w:val="en-GB"/>
        </w:rPr>
        <w:t xml:space="preserve">. </w:t>
      </w:r>
      <w:r w:rsidR="00C17692" w:rsidRPr="00C17692">
        <w:rPr>
          <w:lang w:val="en-GB"/>
        </w:rPr>
        <w:t xml:space="preserve">The total concentration of beta-carotene was determined by spectrophotometry using acetone as a blank. In addition, the 25 mL volumetric flask containing the supernatant was </w:t>
      </w:r>
      <w:r w:rsidR="00544D5E" w:rsidRPr="00C17692">
        <w:rPr>
          <w:lang w:val="en-GB"/>
        </w:rPr>
        <w:t>levelled</w:t>
      </w:r>
      <w:r w:rsidR="00C17692" w:rsidRPr="00C17692">
        <w:rPr>
          <w:lang w:val="en-GB"/>
        </w:rPr>
        <w:t xml:space="preserve"> with acetone. Following this, the absorbance of the supernatant was measured at a wavelength of 450 nm to calculate the concentration of beta-carotene in </w:t>
      </w:r>
      <w:proofErr w:type="spellStart"/>
      <w:r w:rsidR="00C17692" w:rsidRPr="00C17692">
        <w:rPr>
          <w:lang w:val="en-GB"/>
        </w:rPr>
        <w:t>μg</w:t>
      </w:r>
      <w:proofErr w:type="spellEnd"/>
      <w:r w:rsidR="00C17692" w:rsidRPr="00C17692">
        <w:rPr>
          <w:lang w:val="en-GB"/>
        </w:rPr>
        <w:t xml:space="preserve"> mL</w:t>
      </w:r>
      <w:r w:rsidR="00C17692" w:rsidRPr="00544D5E">
        <w:rPr>
          <w:vertAlign w:val="superscript"/>
          <w:lang w:val="en-GB"/>
        </w:rPr>
        <w:t>-1</w:t>
      </w:r>
      <w:r w:rsidR="00C17692" w:rsidRPr="00C17692">
        <w:rPr>
          <w:lang w:val="en-GB"/>
        </w:rPr>
        <w:t xml:space="preserve"> using the following equation (Ibanez, 2018)</w:t>
      </w:r>
    </w:p>
    <w:tbl>
      <w:tblPr>
        <w:tblW w:w="5000" w:type="pct"/>
        <w:tblLook w:val="04A0" w:firstRow="1" w:lastRow="0" w:firstColumn="1" w:lastColumn="0" w:noHBand="0" w:noVBand="1"/>
      </w:tblPr>
      <w:tblGrid>
        <w:gridCol w:w="7984"/>
        <w:gridCol w:w="803"/>
      </w:tblGrid>
      <w:tr w:rsidR="00544D5E" w:rsidRPr="00C538D9" w14:paraId="6FF5AC43" w14:textId="77777777" w:rsidTr="00E9683B">
        <w:tc>
          <w:tcPr>
            <w:tcW w:w="8188" w:type="dxa"/>
            <w:shd w:val="clear" w:color="auto" w:fill="auto"/>
            <w:vAlign w:val="center"/>
          </w:tcPr>
          <w:p w14:paraId="797A24D0" w14:textId="7578B407" w:rsidR="00544D5E" w:rsidRPr="00AB3A19" w:rsidRDefault="00544D5E" w:rsidP="00E9683B">
            <w:pPr>
              <w:pStyle w:val="CETEquation"/>
            </w:pPr>
            <m:oMathPara>
              <m:oMathParaPr>
                <m:jc m:val="left"/>
              </m:oMathParaPr>
              <m:oMath>
                <m:r>
                  <w:rPr>
                    <w:rFonts w:ascii="Cambria Math" w:hAnsi="Cambria Math" w:cs="Arial"/>
                    <w:color w:val="000000"/>
                    <w:sz w:val="20"/>
                    <w:szCs w:val="24"/>
                  </w:rPr>
                  <m:t>C=</m:t>
                </m:r>
                <m:f>
                  <m:fPr>
                    <m:ctrlPr>
                      <w:rPr>
                        <w:rFonts w:ascii="Cambria Math" w:hAnsi="Cambria Math" w:cs="Arial"/>
                        <w:i/>
                        <w:color w:val="000000"/>
                        <w:sz w:val="20"/>
                        <w:szCs w:val="24"/>
                      </w:rPr>
                    </m:ctrlPr>
                  </m:fPr>
                  <m:num>
                    <m:sSub>
                      <m:sSubPr>
                        <m:ctrlPr>
                          <w:rPr>
                            <w:rFonts w:ascii="Cambria Math" w:hAnsi="Cambria Math" w:cs="Arial"/>
                            <w:i/>
                            <w:color w:val="000000"/>
                            <w:sz w:val="20"/>
                            <w:szCs w:val="24"/>
                          </w:rPr>
                        </m:ctrlPr>
                      </m:sSubPr>
                      <m:e>
                        <m:r>
                          <w:rPr>
                            <w:rFonts w:ascii="Cambria Math" w:hAnsi="Cambria Math" w:cs="Arial"/>
                            <w:color w:val="000000"/>
                            <w:sz w:val="20"/>
                            <w:szCs w:val="24"/>
                          </w:rPr>
                          <m:t>A</m:t>
                        </m:r>
                      </m:e>
                      <m:sub>
                        <m:r>
                          <w:rPr>
                            <w:rFonts w:ascii="Cambria Math" w:hAnsi="Cambria Math" w:cs="Arial"/>
                            <w:color w:val="000000"/>
                            <w:sz w:val="20"/>
                            <w:szCs w:val="24"/>
                          </w:rPr>
                          <m:t>MAX</m:t>
                        </m:r>
                      </m:sub>
                    </m:sSub>
                    <m:r>
                      <w:rPr>
                        <w:rFonts w:ascii="Cambria Math" w:hAnsi="Cambria Math" w:cs="Arial"/>
                        <w:color w:val="000000"/>
                        <w:sz w:val="20"/>
                        <w:szCs w:val="24"/>
                      </w:rPr>
                      <m:t>*M*1000</m:t>
                    </m:r>
                  </m:num>
                  <m:den>
                    <m:r>
                      <w:rPr>
                        <w:rFonts w:ascii="Cambria Math" w:hAnsi="Cambria Math" w:cs="Arial"/>
                        <w:color w:val="000000"/>
                        <w:sz w:val="20"/>
                        <w:szCs w:val="24"/>
                      </w:rPr>
                      <m:t>ε*δ</m:t>
                    </m:r>
                  </m:den>
                </m:f>
              </m:oMath>
            </m:oMathPara>
          </w:p>
        </w:tc>
        <w:tc>
          <w:tcPr>
            <w:tcW w:w="815" w:type="dxa"/>
            <w:shd w:val="clear" w:color="auto" w:fill="auto"/>
            <w:vAlign w:val="center"/>
          </w:tcPr>
          <w:p w14:paraId="5DE331AD" w14:textId="76361E59" w:rsidR="00544D5E" w:rsidRPr="00C538D9" w:rsidRDefault="00544D5E" w:rsidP="00E9683B">
            <w:pPr>
              <w:pStyle w:val="CETEquation"/>
            </w:pPr>
            <w:r w:rsidRPr="00C538D9">
              <w:t>(</w:t>
            </w:r>
            <w:r>
              <w:t>4</w:t>
            </w:r>
            <w:r w:rsidRPr="00C538D9">
              <w:t>)</w:t>
            </w:r>
          </w:p>
        </w:tc>
      </w:tr>
    </w:tbl>
    <w:p w14:paraId="521B3983" w14:textId="569E40D1" w:rsidR="00544D5E" w:rsidRDefault="00544D5E" w:rsidP="004D6E1A">
      <w:pPr>
        <w:pStyle w:val="CETBodytext"/>
        <w:rPr>
          <w:lang w:val="en-GB"/>
        </w:rPr>
      </w:pPr>
      <w:r>
        <w:rPr>
          <w:lang w:val="en-GB"/>
        </w:rPr>
        <w:t xml:space="preserve">Where </w:t>
      </w:r>
      <m:oMath>
        <m:sSub>
          <m:sSubPr>
            <m:ctrlPr>
              <w:rPr>
                <w:rFonts w:ascii="Cambria Math" w:hAnsi="Cambria Math"/>
                <w:lang w:val="en-GB"/>
              </w:rPr>
            </m:ctrlPr>
          </m:sSubPr>
          <m:e>
            <m:r>
              <w:rPr>
                <w:rFonts w:ascii="Cambria Math" w:hAnsi="Cambria Math"/>
                <w:lang w:val="en-GB"/>
              </w:rPr>
              <m:t>A</m:t>
            </m:r>
          </m:e>
          <m:sub>
            <m:r>
              <w:rPr>
                <w:rFonts w:ascii="Cambria Math" w:hAnsi="Cambria Math"/>
                <w:lang w:val="en-GB"/>
              </w:rPr>
              <m:t>MAX</m:t>
            </m:r>
          </m:sub>
        </m:sSub>
      </m:oMath>
      <w:r w:rsidRPr="00544D5E">
        <w:rPr>
          <w:lang w:val="en-GB"/>
        </w:rPr>
        <w:t xml:space="preserve"> is the absorbance at</w:t>
      </w:r>
      <w:r>
        <w:rPr>
          <w:lang w:val="en-GB"/>
        </w:rPr>
        <w:t xml:space="preserve"> 450 nm; </w:t>
      </w:r>
      <w:r w:rsidRPr="00544D5E">
        <w:rPr>
          <w:i/>
          <w:lang w:val="en-GB"/>
        </w:rPr>
        <w:t>M</w:t>
      </w:r>
      <w:r>
        <w:rPr>
          <w:lang w:val="en-GB"/>
        </w:rPr>
        <w:t xml:space="preserve"> is the molecular weight of carotene (537 g mol</w:t>
      </w:r>
      <w:r w:rsidRPr="00EA7DC2">
        <w:rPr>
          <w:vertAlign w:val="superscript"/>
          <w:lang w:val="en-GB"/>
        </w:rPr>
        <w:t>-1</w:t>
      </w:r>
      <w:r>
        <w:rPr>
          <w:lang w:val="en-GB"/>
        </w:rPr>
        <w:t xml:space="preserve">); </w:t>
      </w:r>
      <m:oMath>
        <m:r>
          <w:rPr>
            <w:rFonts w:ascii="Cambria Math" w:hAnsi="Cambria Math" w:cs="Arial"/>
            <w:color w:val="000000"/>
            <w:sz w:val="24"/>
            <w:szCs w:val="24"/>
          </w:rPr>
          <m:t>ε</m:t>
        </m:r>
      </m:oMath>
      <w:r w:rsidRPr="00544D5E">
        <w:rPr>
          <w:lang w:val="en-GB"/>
        </w:rPr>
        <w:t xml:space="preserve"> </w:t>
      </w:r>
      <w:r>
        <w:rPr>
          <w:lang w:val="en-GB"/>
        </w:rPr>
        <w:t xml:space="preserve">is the molar extinction coefficient of the </w:t>
      </w:r>
      <w:r w:rsidRPr="00544D5E">
        <w:rPr>
          <w:lang w:val="en-GB"/>
        </w:rPr>
        <w:t xml:space="preserve">β </w:t>
      </w:r>
      <w:r>
        <w:rPr>
          <w:lang w:val="en-GB"/>
        </w:rPr>
        <w:t xml:space="preserve">- </w:t>
      </w:r>
      <w:r w:rsidRPr="00544D5E">
        <w:rPr>
          <w:lang w:val="en-GB"/>
        </w:rPr>
        <w:t xml:space="preserve">carotenoid </w:t>
      </w:r>
      <w:r>
        <w:rPr>
          <w:lang w:val="en-GB"/>
        </w:rPr>
        <w:t>in</w:t>
      </w:r>
      <w:r w:rsidRPr="00544D5E">
        <w:rPr>
          <w:lang w:val="en-GB"/>
        </w:rPr>
        <w:t xml:space="preserve"> aceton</w:t>
      </w:r>
      <w:r>
        <w:rPr>
          <w:lang w:val="en-GB"/>
        </w:rPr>
        <w:t>e</w:t>
      </w:r>
      <w:r w:rsidRPr="00544D5E">
        <w:rPr>
          <w:lang w:val="en-GB"/>
        </w:rPr>
        <w:t xml:space="preserve"> (140663 L mol</w:t>
      </w:r>
      <w:r w:rsidRPr="00544D5E">
        <w:rPr>
          <w:vertAlign w:val="superscript"/>
          <w:lang w:val="en-GB"/>
        </w:rPr>
        <w:t>-1</w:t>
      </w:r>
      <w:r w:rsidRPr="00544D5E">
        <w:rPr>
          <w:lang w:val="en-GB"/>
        </w:rPr>
        <w:t xml:space="preserve"> cm</w:t>
      </w:r>
      <w:r w:rsidRPr="00544D5E">
        <w:rPr>
          <w:vertAlign w:val="superscript"/>
          <w:lang w:val="en-GB"/>
        </w:rPr>
        <w:t>-1</w:t>
      </w:r>
      <w:r w:rsidRPr="00544D5E">
        <w:rPr>
          <w:lang w:val="en-GB"/>
        </w:rPr>
        <w:t xml:space="preserve">) </w:t>
      </w:r>
      <w:r>
        <w:rPr>
          <w:lang w:val="en-GB"/>
        </w:rPr>
        <w:t>and</w:t>
      </w:r>
      <w:r w:rsidRPr="00544D5E">
        <w:rPr>
          <w:lang w:val="en-GB"/>
        </w:rPr>
        <w:t xml:space="preserve"> δ </w:t>
      </w:r>
      <w:r>
        <w:rPr>
          <w:lang w:val="en-GB"/>
        </w:rPr>
        <w:t>is the optical path</w:t>
      </w:r>
      <w:r w:rsidRPr="00544D5E">
        <w:rPr>
          <w:lang w:val="en-GB"/>
        </w:rPr>
        <w:t xml:space="preserve"> </w:t>
      </w:r>
      <w:r>
        <w:rPr>
          <w:lang w:val="en-GB"/>
        </w:rPr>
        <w:t>in cm.</w:t>
      </w:r>
    </w:p>
    <w:p w14:paraId="1029762F" w14:textId="21A79DE7" w:rsidR="00544D5E" w:rsidRDefault="00544D5E" w:rsidP="004D6E1A">
      <w:pPr>
        <w:pStyle w:val="CETBodytext"/>
        <w:rPr>
          <w:lang w:val="en-GB"/>
        </w:rPr>
      </w:pPr>
    </w:p>
    <w:p w14:paraId="41464FD5" w14:textId="2D9007A5" w:rsidR="004B51D1" w:rsidRDefault="00544D5E" w:rsidP="00544D5E">
      <w:pPr>
        <w:pStyle w:val="CETBodytext"/>
        <w:rPr>
          <w:lang w:val="en-GB"/>
        </w:rPr>
      </w:pPr>
      <w:r>
        <w:rPr>
          <w:lang w:val="en-GB"/>
        </w:rPr>
        <w:t xml:space="preserve">For </w:t>
      </w:r>
      <w:r w:rsidRPr="00C84682">
        <w:rPr>
          <w:lang w:val="en-GB"/>
        </w:rPr>
        <w:t>mycosporines</w:t>
      </w:r>
      <w:r w:rsidR="004B51D1">
        <w:rPr>
          <w:lang w:val="en-GB"/>
        </w:rPr>
        <w:t xml:space="preserve"> (MAA</w:t>
      </w:r>
      <w:r w:rsidR="000E5563">
        <w:rPr>
          <w:lang w:val="en-GB"/>
        </w:rPr>
        <w:t>s</w:t>
      </w:r>
      <w:r w:rsidR="004B51D1">
        <w:rPr>
          <w:lang w:val="en-GB"/>
        </w:rPr>
        <w:t>)</w:t>
      </w:r>
      <w:r>
        <w:rPr>
          <w:lang w:val="en-GB"/>
        </w:rPr>
        <w:t xml:space="preserve"> </w:t>
      </w:r>
      <w:r w:rsidR="006F28FD">
        <w:rPr>
          <w:lang w:val="en-GB"/>
        </w:rPr>
        <w:t xml:space="preserve">extraction </w:t>
      </w:r>
      <w:r>
        <w:rPr>
          <w:lang w:val="en-GB"/>
        </w:rPr>
        <w:t>m</w:t>
      </w:r>
      <w:r w:rsidRPr="00544D5E">
        <w:rPr>
          <w:lang w:val="en-GB"/>
        </w:rPr>
        <w:t xml:space="preserve">ethanol and acetone were used as polar extraction solvents </w:t>
      </w:r>
      <w:r w:rsidR="000E5563" w:rsidRPr="00544D5E">
        <w:rPr>
          <w:lang w:val="en-GB"/>
        </w:rPr>
        <w:t>to</w:t>
      </w:r>
      <w:r w:rsidRPr="00544D5E">
        <w:rPr>
          <w:lang w:val="en-GB"/>
        </w:rPr>
        <w:t xml:space="preserve"> evaluate their effectiveness. </w:t>
      </w:r>
      <w:r>
        <w:rPr>
          <w:lang w:val="en-GB"/>
        </w:rPr>
        <w:t>A</w:t>
      </w:r>
      <w:r w:rsidRPr="00544D5E">
        <w:rPr>
          <w:lang w:val="en-GB"/>
        </w:rPr>
        <w:t xml:space="preserve">cetone was used as extraction solvent for four </w:t>
      </w:r>
      <w:r w:rsidR="00FF51C6">
        <w:rPr>
          <w:lang w:val="en-GB"/>
        </w:rPr>
        <w:t>samples of which two came from the Culture 1 (white light) and the other two from the Culture 2 (red light).</w:t>
      </w:r>
      <w:r w:rsidRPr="00544D5E">
        <w:rPr>
          <w:lang w:val="en-GB"/>
        </w:rPr>
        <w:t xml:space="preserve"> </w:t>
      </w:r>
      <w:r w:rsidR="00FF51C6">
        <w:rPr>
          <w:lang w:val="en-GB"/>
        </w:rPr>
        <w:t>Each of the</w:t>
      </w:r>
      <w:r w:rsidRPr="00544D5E">
        <w:rPr>
          <w:lang w:val="en-GB"/>
        </w:rPr>
        <w:t xml:space="preserve"> samples were crushed</w:t>
      </w:r>
      <w:r w:rsidR="00FF51C6">
        <w:rPr>
          <w:lang w:val="en-GB"/>
        </w:rPr>
        <w:t xml:space="preserve">, after mixed with silica gel, </w:t>
      </w:r>
      <w:r w:rsidRPr="00544D5E">
        <w:rPr>
          <w:lang w:val="en-GB"/>
        </w:rPr>
        <w:t xml:space="preserve">in a mortar for 3 minutes and added to test tubes containing 4 mL of </w:t>
      </w:r>
      <w:r w:rsidR="00FF51C6">
        <w:rPr>
          <w:lang w:val="en-GB"/>
        </w:rPr>
        <w:t>each solvent.</w:t>
      </w:r>
      <w:r w:rsidRPr="00544D5E">
        <w:rPr>
          <w:lang w:val="en-GB"/>
        </w:rPr>
        <w:t xml:space="preserve"> Following this, all samples were stored at a temperature of -20 °C for 22 h in a dark place (</w:t>
      </w:r>
      <w:proofErr w:type="spellStart"/>
      <w:r w:rsidRPr="00544D5E">
        <w:rPr>
          <w:lang w:val="en-GB"/>
        </w:rPr>
        <w:t>Outon</w:t>
      </w:r>
      <w:proofErr w:type="spellEnd"/>
      <w:r w:rsidRPr="00544D5E">
        <w:rPr>
          <w:lang w:val="en-GB"/>
        </w:rPr>
        <w:t>, 2019).</w:t>
      </w:r>
      <w:r w:rsidR="00FF51C6">
        <w:rPr>
          <w:lang w:val="en-GB"/>
        </w:rPr>
        <w:t xml:space="preserve"> </w:t>
      </w:r>
      <w:r w:rsidRPr="00544D5E">
        <w:rPr>
          <w:lang w:val="en-GB"/>
        </w:rPr>
        <w:t xml:space="preserve">Finally, the samples were </w:t>
      </w:r>
      <w:r w:rsidR="00FF51C6">
        <w:rPr>
          <w:lang w:val="en-GB"/>
        </w:rPr>
        <w:t>centrifuged</w:t>
      </w:r>
      <w:r w:rsidRPr="00544D5E">
        <w:rPr>
          <w:lang w:val="en-GB"/>
        </w:rPr>
        <w:t xml:space="preserve"> for 20 minutes at 4200 rpm, precipitate </w:t>
      </w:r>
      <w:r w:rsidR="00FF51C6">
        <w:rPr>
          <w:lang w:val="en-GB"/>
        </w:rPr>
        <w:t xml:space="preserve">was separated </w:t>
      </w:r>
      <w:r w:rsidRPr="00544D5E">
        <w:rPr>
          <w:lang w:val="en-GB"/>
        </w:rPr>
        <w:t>and the supernatant</w:t>
      </w:r>
      <w:r w:rsidR="00FF51C6">
        <w:rPr>
          <w:lang w:val="en-GB"/>
        </w:rPr>
        <w:t xml:space="preserve"> went</w:t>
      </w:r>
      <w:r w:rsidRPr="00544D5E">
        <w:rPr>
          <w:lang w:val="en-GB"/>
        </w:rPr>
        <w:t xml:space="preserve"> to another test tube (</w:t>
      </w:r>
      <w:proofErr w:type="spellStart"/>
      <w:r w:rsidRPr="00544D5E">
        <w:rPr>
          <w:lang w:val="en-GB"/>
        </w:rPr>
        <w:t>Outon</w:t>
      </w:r>
      <w:proofErr w:type="spellEnd"/>
      <w:r w:rsidRPr="00544D5E">
        <w:rPr>
          <w:lang w:val="en-GB"/>
        </w:rPr>
        <w:t>, 2019).</w:t>
      </w:r>
      <w:r w:rsidR="00FF51C6">
        <w:rPr>
          <w:lang w:val="en-GB"/>
        </w:rPr>
        <w:t xml:space="preserve"> </w:t>
      </w:r>
      <w:r w:rsidR="004B51D1">
        <w:rPr>
          <w:lang w:val="en-GB"/>
        </w:rPr>
        <w:t>O</w:t>
      </w:r>
      <w:r w:rsidR="004B51D1" w:rsidRPr="00544D5E">
        <w:rPr>
          <w:lang w:val="en-GB"/>
        </w:rPr>
        <w:t xml:space="preserve">ptical density of the supernatant at a wavelength between 326-704 nm </w:t>
      </w:r>
      <w:r w:rsidR="004B51D1">
        <w:rPr>
          <w:lang w:val="en-GB"/>
        </w:rPr>
        <w:t>were measured. General equation to quantify</w:t>
      </w:r>
      <w:r w:rsidRPr="00544D5E">
        <w:rPr>
          <w:lang w:val="en-GB"/>
        </w:rPr>
        <w:t xml:space="preserve"> mycosporin</w:t>
      </w:r>
      <w:r w:rsidR="00FF51C6">
        <w:rPr>
          <w:lang w:val="en-GB"/>
        </w:rPr>
        <w:t>e</w:t>
      </w:r>
      <w:r w:rsidRPr="00544D5E">
        <w:rPr>
          <w:lang w:val="en-GB"/>
        </w:rPr>
        <w:t>s</w:t>
      </w:r>
      <w:r w:rsidR="004B51D1">
        <w:rPr>
          <w:lang w:val="en-GB"/>
        </w:rPr>
        <w:t xml:space="preserve"> was</w:t>
      </w:r>
    </w:p>
    <w:tbl>
      <w:tblPr>
        <w:tblW w:w="5000" w:type="pct"/>
        <w:tblLook w:val="04A0" w:firstRow="1" w:lastRow="0" w:firstColumn="1" w:lastColumn="0" w:noHBand="0" w:noVBand="1"/>
      </w:tblPr>
      <w:tblGrid>
        <w:gridCol w:w="7985"/>
        <w:gridCol w:w="802"/>
      </w:tblGrid>
      <w:tr w:rsidR="004B51D1" w:rsidRPr="00C538D9" w14:paraId="6F8367DB" w14:textId="77777777" w:rsidTr="00947E59">
        <w:tc>
          <w:tcPr>
            <w:tcW w:w="7985" w:type="dxa"/>
            <w:shd w:val="clear" w:color="auto" w:fill="auto"/>
            <w:vAlign w:val="center"/>
          </w:tcPr>
          <w:p w14:paraId="40731432" w14:textId="7A4DCEE6" w:rsidR="004B51D1" w:rsidRPr="004B51D1" w:rsidRDefault="004B51D1" w:rsidP="00E9683B">
            <w:pPr>
              <w:pStyle w:val="CETEquation"/>
              <w:rPr>
                <w:sz w:val="20"/>
              </w:rPr>
            </w:pPr>
            <m:oMathPara>
              <m:oMathParaPr>
                <m:jc m:val="left"/>
              </m:oMathParaPr>
              <m:oMath>
                <m:r>
                  <w:rPr>
                    <w:rFonts w:ascii="Cambria Math" w:hAnsi="Cambria Math" w:cs="Arial"/>
                    <w:color w:val="000000"/>
                    <w:sz w:val="20"/>
                  </w:rPr>
                  <m:t>Total MAA</m:t>
                </m:r>
                <m:r>
                  <w:rPr>
                    <w:rFonts w:ascii="Cambria Math" w:hAnsi="Cambria Math" w:cs="Arial"/>
                    <w:color w:val="000000"/>
                    <w:sz w:val="20"/>
                  </w:rPr>
                  <m:t>s</m:t>
                </m:r>
                <m:r>
                  <w:rPr>
                    <w:rFonts w:ascii="Cambria Math" w:hAnsi="Cambria Math" w:cs="Arial"/>
                    <w:color w:val="000000"/>
                    <w:sz w:val="20"/>
                  </w:rPr>
                  <m:t xml:space="preserve"> Content=</m:t>
                </m:r>
                <m:f>
                  <m:fPr>
                    <m:ctrlPr>
                      <w:rPr>
                        <w:rFonts w:ascii="Cambria Math" w:hAnsi="Cambria Math" w:cs="Arial"/>
                        <w:i/>
                        <w:color w:val="000000"/>
                        <w:sz w:val="20"/>
                      </w:rPr>
                    </m:ctrlPr>
                  </m:fPr>
                  <m:num>
                    <m:sSub>
                      <m:sSubPr>
                        <m:ctrlPr>
                          <w:rPr>
                            <w:rFonts w:ascii="Cambria Math" w:hAnsi="Cambria Math" w:cs="Arial"/>
                            <w:i/>
                            <w:color w:val="000000"/>
                            <w:sz w:val="20"/>
                          </w:rPr>
                        </m:ctrlPr>
                      </m:sSubPr>
                      <m:e>
                        <m:r>
                          <w:rPr>
                            <w:rFonts w:ascii="Cambria Math" w:hAnsi="Cambria Math" w:cs="Arial"/>
                            <w:color w:val="000000"/>
                            <w:sz w:val="20"/>
                          </w:rPr>
                          <m:t>C</m:t>
                        </m:r>
                      </m:e>
                      <m:sub>
                        <m:r>
                          <w:rPr>
                            <w:rFonts w:ascii="Cambria Math" w:hAnsi="Cambria Math" w:cs="Arial"/>
                            <w:color w:val="000000"/>
                            <w:sz w:val="20"/>
                          </w:rPr>
                          <m:t>1</m:t>
                        </m:r>
                      </m:sub>
                    </m:sSub>
                    <m:r>
                      <w:rPr>
                        <w:rFonts w:ascii="Cambria Math" w:hAnsi="Cambria Math" w:cs="Arial"/>
                        <w:color w:val="000000"/>
                        <w:sz w:val="20"/>
                      </w:rPr>
                      <m:t>*</m:t>
                    </m:r>
                    <m:sSub>
                      <m:sSubPr>
                        <m:ctrlPr>
                          <w:rPr>
                            <w:rFonts w:ascii="Cambria Math" w:hAnsi="Cambria Math"/>
                            <w:i/>
                            <w:color w:val="000000"/>
                            <w:sz w:val="20"/>
                          </w:rPr>
                        </m:ctrlPr>
                      </m:sSubPr>
                      <m:e>
                        <m:r>
                          <w:rPr>
                            <w:rFonts w:ascii="Cambria Math" w:hAnsi="Cambria Math"/>
                            <w:color w:val="000000"/>
                            <w:sz w:val="20"/>
                          </w:rPr>
                          <m:t>A</m:t>
                        </m:r>
                      </m:e>
                      <m:sub>
                        <m:sSub>
                          <m:sSubPr>
                            <m:ctrlPr>
                              <w:rPr>
                                <w:rFonts w:ascii="Cambria Math" w:hAnsi="Cambria Math"/>
                                <w:i/>
                                <w:color w:val="000000"/>
                                <w:sz w:val="20"/>
                              </w:rPr>
                            </m:ctrlPr>
                          </m:sSubPr>
                          <m:e>
                            <m:r>
                              <w:rPr>
                                <w:rFonts w:ascii="Cambria Math" w:hAnsi="Cambria Math"/>
                                <w:color w:val="000000"/>
                                <w:sz w:val="20"/>
                              </w:rPr>
                              <m:t>λ</m:t>
                            </m:r>
                          </m:e>
                          <m:sub>
                            <m:r>
                              <w:rPr>
                                <w:rFonts w:ascii="Cambria Math" w:hAnsi="Cambria Math"/>
                                <w:color w:val="000000"/>
                                <w:sz w:val="20"/>
                              </w:rPr>
                              <m:t>1</m:t>
                            </m:r>
                          </m:sub>
                        </m:sSub>
                      </m:sub>
                    </m:sSub>
                    <m:r>
                      <w:rPr>
                        <w:rFonts w:ascii="Cambria Math" w:hAnsi="Cambria Math" w:cs="Arial"/>
                        <w:color w:val="000000"/>
                        <w:sz w:val="20"/>
                      </w:rPr>
                      <m:t>-</m:t>
                    </m:r>
                    <m:sSub>
                      <m:sSubPr>
                        <m:ctrlPr>
                          <w:rPr>
                            <w:rFonts w:ascii="Cambria Math" w:hAnsi="Cambria Math" w:cs="Arial"/>
                            <w:i/>
                            <w:color w:val="000000"/>
                            <w:sz w:val="20"/>
                          </w:rPr>
                        </m:ctrlPr>
                      </m:sSubPr>
                      <m:e>
                        <m:r>
                          <w:rPr>
                            <w:rFonts w:ascii="Cambria Math" w:hAnsi="Cambria Math" w:cs="Arial"/>
                            <w:color w:val="000000"/>
                            <w:sz w:val="20"/>
                          </w:rPr>
                          <m:t>C</m:t>
                        </m:r>
                      </m:e>
                      <m:sub>
                        <m:r>
                          <w:rPr>
                            <w:rFonts w:ascii="Cambria Math" w:hAnsi="Cambria Math" w:cs="Arial"/>
                            <w:color w:val="000000"/>
                            <w:sz w:val="20"/>
                          </w:rPr>
                          <m:t>2</m:t>
                        </m:r>
                      </m:sub>
                    </m:sSub>
                    <m:r>
                      <w:rPr>
                        <w:rFonts w:ascii="Cambria Math" w:hAnsi="Cambria Math" w:cs="Arial"/>
                        <w:color w:val="000000"/>
                        <w:sz w:val="20"/>
                      </w:rPr>
                      <m:t>*</m:t>
                    </m:r>
                    <m:sSub>
                      <m:sSubPr>
                        <m:ctrlPr>
                          <w:rPr>
                            <w:rFonts w:ascii="Cambria Math" w:hAnsi="Cambria Math"/>
                            <w:i/>
                            <w:color w:val="000000"/>
                            <w:sz w:val="20"/>
                          </w:rPr>
                        </m:ctrlPr>
                      </m:sSubPr>
                      <m:e>
                        <m:r>
                          <w:rPr>
                            <w:rFonts w:ascii="Cambria Math" w:hAnsi="Cambria Math"/>
                            <w:color w:val="000000"/>
                            <w:sz w:val="20"/>
                          </w:rPr>
                          <m:t>A</m:t>
                        </m:r>
                      </m:e>
                      <m:sub>
                        <m:sSub>
                          <m:sSubPr>
                            <m:ctrlPr>
                              <w:rPr>
                                <w:rFonts w:ascii="Cambria Math" w:hAnsi="Cambria Math"/>
                                <w:i/>
                                <w:color w:val="000000"/>
                                <w:sz w:val="20"/>
                              </w:rPr>
                            </m:ctrlPr>
                          </m:sSubPr>
                          <m:e>
                            <m:r>
                              <w:rPr>
                                <w:rFonts w:ascii="Cambria Math" w:hAnsi="Cambria Math"/>
                                <w:color w:val="000000"/>
                                <w:sz w:val="20"/>
                              </w:rPr>
                              <m:t>λ</m:t>
                            </m:r>
                          </m:e>
                          <m:sub>
                            <m:r>
                              <w:rPr>
                                <w:rFonts w:ascii="Cambria Math" w:hAnsi="Cambria Math"/>
                                <w:color w:val="000000"/>
                                <w:sz w:val="20"/>
                              </w:rPr>
                              <m:t>2</m:t>
                            </m:r>
                          </m:sub>
                        </m:sSub>
                      </m:sub>
                    </m:sSub>
                  </m:num>
                  <m:den>
                    <m:r>
                      <w:rPr>
                        <w:rFonts w:ascii="Cambria Math" w:hAnsi="Cambria Math" w:cs="Arial"/>
                        <w:sz w:val="20"/>
                      </w:rPr>
                      <m:t>Dry</m:t>
                    </m:r>
                    <m:r>
                      <m:rPr>
                        <m:sty m:val="p"/>
                      </m:rPr>
                      <w:rPr>
                        <w:rFonts w:ascii="Cambria Math" w:hAnsi="Cambria Math" w:cs="Arial"/>
                        <w:sz w:val="20"/>
                      </w:rPr>
                      <m:t xml:space="preserve"> </m:t>
                    </m:r>
                    <m:r>
                      <w:rPr>
                        <w:rFonts w:ascii="Cambria Math" w:hAnsi="Cambria Math" w:cs="Arial"/>
                        <w:sz w:val="20"/>
                      </w:rPr>
                      <m:t>weight</m:t>
                    </m:r>
                  </m:den>
                </m:f>
                <m:r>
                  <w:rPr>
                    <w:rFonts w:ascii="Cambria Math" w:hAnsi="Cambria Math" w:cs="Arial"/>
                    <w:color w:val="000000"/>
                    <w:sz w:val="20"/>
                  </w:rPr>
                  <m:t>*</m:t>
                </m:r>
                <m:f>
                  <m:fPr>
                    <m:ctrlPr>
                      <w:rPr>
                        <w:rFonts w:ascii="Cambria Math" w:hAnsi="Cambria Math"/>
                        <w:i/>
                        <w:color w:val="000000"/>
                        <w:sz w:val="20"/>
                      </w:rPr>
                    </m:ctrlPr>
                  </m:fPr>
                  <m:num>
                    <m:sSub>
                      <m:sSubPr>
                        <m:ctrlPr>
                          <w:rPr>
                            <w:rFonts w:ascii="Cambria Math" w:hAnsi="Cambria Math"/>
                            <w:i/>
                            <w:color w:val="000000"/>
                            <w:sz w:val="20"/>
                          </w:rPr>
                        </m:ctrlPr>
                      </m:sSubPr>
                      <m:e>
                        <m:r>
                          <w:rPr>
                            <w:rFonts w:ascii="Cambria Math" w:hAnsi="Cambria Math"/>
                            <w:color w:val="000000"/>
                            <w:sz w:val="20"/>
                          </w:rPr>
                          <m:t>A</m:t>
                        </m:r>
                      </m:e>
                      <m:sub>
                        <m:r>
                          <w:rPr>
                            <w:rFonts w:ascii="Cambria Math" w:hAnsi="Cambria Math"/>
                            <w:color w:val="000000"/>
                            <w:sz w:val="20"/>
                          </w:rPr>
                          <m:t>MAAS</m:t>
                        </m:r>
                      </m:sub>
                    </m:sSub>
                  </m:num>
                  <m:den>
                    <m:sSub>
                      <m:sSubPr>
                        <m:ctrlPr>
                          <w:rPr>
                            <w:rFonts w:ascii="Cambria Math" w:hAnsi="Cambria Math"/>
                            <w:i/>
                            <w:color w:val="000000"/>
                            <w:sz w:val="20"/>
                          </w:rPr>
                        </m:ctrlPr>
                      </m:sSubPr>
                      <m:e>
                        <m:r>
                          <w:rPr>
                            <w:rFonts w:ascii="Cambria Math" w:hAnsi="Cambria Math"/>
                            <w:color w:val="000000"/>
                            <w:sz w:val="20"/>
                          </w:rPr>
                          <m:t>A</m:t>
                        </m:r>
                      </m:e>
                      <m:sub>
                        <m:r>
                          <w:rPr>
                            <w:rFonts w:ascii="Cambria Math" w:hAnsi="Cambria Math"/>
                            <w:color w:val="000000"/>
                            <w:sz w:val="20"/>
                          </w:rPr>
                          <m:t>chla</m:t>
                        </m:r>
                      </m:sub>
                    </m:sSub>
                  </m:den>
                </m:f>
                <m:r>
                  <w:rPr>
                    <w:rFonts w:ascii="Cambria Math" w:hAnsi="Cambria Math" w:cs="Arial"/>
                    <w:color w:val="000000"/>
                    <w:sz w:val="20"/>
                  </w:rPr>
                  <m:t>*1000</m:t>
                </m:r>
              </m:oMath>
            </m:oMathPara>
          </w:p>
        </w:tc>
        <w:tc>
          <w:tcPr>
            <w:tcW w:w="802" w:type="dxa"/>
            <w:shd w:val="clear" w:color="auto" w:fill="auto"/>
            <w:vAlign w:val="center"/>
          </w:tcPr>
          <w:p w14:paraId="19DA8740" w14:textId="53313D40" w:rsidR="004B51D1" w:rsidRPr="00C538D9" w:rsidRDefault="004B51D1" w:rsidP="00E9683B">
            <w:pPr>
              <w:pStyle w:val="CETEquation"/>
            </w:pPr>
            <w:r w:rsidRPr="00C538D9">
              <w:t>(</w:t>
            </w:r>
            <w:r>
              <w:t>5</w:t>
            </w:r>
            <w:r w:rsidRPr="00C538D9">
              <w:t>)</w:t>
            </w:r>
          </w:p>
        </w:tc>
      </w:tr>
    </w:tbl>
    <w:p w14:paraId="36615C91" w14:textId="5C76F7C5" w:rsidR="00544D5E" w:rsidRPr="00947E59" w:rsidRDefault="00000000" w:rsidP="00544D5E">
      <w:pPr>
        <w:pStyle w:val="CETBodytext"/>
        <w:rPr>
          <w:rFonts w:cs="Arial"/>
          <w:szCs w:val="18"/>
          <w:lang w:val="en-GB"/>
        </w:rPr>
      </w:pPr>
      <m:oMath>
        <m:sSub>
          <m:sSubPr>
            <m:ctrlPr>
              <w:rPr>
                <w:rFonts w:ascii="Cambria Math" w:hAnsi="Cambria Math" w:cs="Arial"/>
                <w:i/>
                <w:color w:val="000000"/>
                <w:szCs w:val="18"/>
              </w:rPr>
            </m:ctrlPr>
          </m:sSubPr>
          <m:e>
            <m:r>
              <w:rPr>
                <w:rFonts w:ascii="Cambria Math" w:hAnsi="Cambria Math" w:cs="Arial"/>
                <w:color w:val="000000"/>
                <w:szCs w:val="18"/>
              </w:rPr>
              <m:t>A</m:t>
            </m:r>
          </m:e>
          <m:sub>
            <m:r>
              <w:rPr>
                <w:rFonts w:ascii="Cambria Math" w:hAnsi="Cambria Math" w:cs="Arial"/>
                <w:color w:val="000000"/>
                <w:szCs w:val="18"/>
              </w:rPr>
              <m:t>MAA</m:t>
            </m:r>
            <m:r>
              <w:rPr>
                <w:rFonts w:ascii="Cambria Math" w:hAnsi="Cambria Math" w:cs="Arial"/>
                <w:color w:val="000000"/>
                <w:szCs w:val="18"/>
              </w:rPr>
              <m:t>s</m:t>
            </m:r>
          </m:sub>
        </m:sSub>
      </m:oMath>
      <w:r w:rsidR="00947E59" w:rsidRPr="00947E59">
        <w:rPr>
          <w:rFonts w:cs="Arial"/>
          <w:color w:val="000000"/>
          <w:szCs w:val="18"/>
        </w:rPr>
        <w:t xml:space="preserve"> </w:t>
      </w:r>
      <w:r w:rsidR="00947E59">
        <w:rPr>
          <w:rFonts w:cs="Arial"/>
          <w:color w:val="000000"/>
          <w:szCs w:val="18"/>
        </w:rPr>
        <w:t>is</w:t>
      </w:r>
      <w:r w:rsidR="00947E59" w:rsidRPr="00947E59">
        <w:rPr>
          <w:rFonts w:cs="Arial"/>
          <w:color w:val="000000"/>
          <w:szCs w:val="18"/>
        </w:rPr>
        <w:t xml:space="preserve"> the area under the curve at wavelengths </w:t>
      </w:r>
      <w:r w:rsidR="00947E59">
        <w:rPr>
          <w:rFonts w:cs="Arial"/>
          <w:color w:val="000000"/>
          <w:szCs w:val="18"/>
        </w:rPr>
        <w:t>from</w:t>
      </w:r>
      <w:r w:rsidR="00947E59" w:rsidRPr="00947E59">
        <w:rPr>
          <w:rFonts w:cs="Arial"/>
          <w:color w:val="000000"/>
          <w:szCs w:val="18"/>
        </w:rPr>
        <w:t xml:space="preserve"> 326 to 356 nm</w:t>
      </w:r>
      <w:r w:rsidR="00947E59">
        <w:rPr>
          <w:rFonts w:cs="Arial"/>
          <w:color w:val="000000"/>
          <w:szCs w:val="18"/>
        </w:rPr>
        <w:t>;</w:t>
      </w:r>
      <w:r w:rsidR="00947E59" w:rsidRPr="00947E59">
        <w:rPr>
          <w:rFonts w:cs="Arial"/>
          <w:color w:val="000000"/>
          <w:szCs w:val="18"/>
        </w:rPr>
        <w:t xml:space="preserve"> </w:t>
      </w:r>
      <m:oMath>
        <m:sSub>
          <m:sSubPr>
            <m:ctrlPr>
              <w:rPr>
                <w:rFonts w:ascii="Cambria Math" w:hAnsi="Cambria Math" w:cs="Arial"/>
                <w:i/>
                <w:color w:val="000000"/>
                <w:szCs w:val="18"/>
              </w:rPr>
            </m:ctrlPr>
          </m:sSubPr>
          <m:e>
            <m:r>
              <w:rPr>
                <w:rFonts w:ascii="Cambria Math" w:hAnsi="Cambria Math" w:cs="Arial"/>
                <w:color w:val="000000"/>
                <w:szCs w:val="18"/>
              </w:rPr>
              <m:t>A</m:t>
            </m:r>
          </m:e>
          <m:sub>
            <m:r>
              <w:rPr>
                <w:rFonts w:ascii="Cambria Math" w:hAnsi="Cambria Math" w:cs="Arial"/>
                <w:color w:val="000000"/>
                <w:szCs w:val="18"/>
              </w:rPr>
              <m:t>chla</m:t>
            </m:r>
          </m:sub>
        </m:sSub>
      </m:oMath>
      <w:r w:rsidR="00947E59" w:rsidRPr="00947E59">
        <w:rPr>
          <w:rFonts w:cs="Arial"/>
          <w:color w:val="000000"/>
          <w:szCs w:val="18"/>
        </w:rPr>
        <w:t xml:space="preserve"> </w:t>
      </w:r>
      <w:r w:rsidR="00947E59">
        <w:rPr>
          <w:rFonts w:cs="Arial"/>
          <w:color w:val="000000"/>
          <w:szCs w:val="18"/>
        </w:rPr>
        <w:t>is the area under the curve at wavelengths from 621 to 704 nm, corresponding to chlorophyll – a</w:t>
      </w:r>
      <w:r w:rsidR="00947E59">
        <w:rPr>
          <w:rFonts w:cs="Arial"/>
          <w:szCs w:val="18"/>
          <w:lang w:val="en-GB"/>
        </w:rPr>
        <w:t xml:space="preserve">. </w:t>
      </w:r>
      <w:r w:rsidR="004B51D1" w:rsidRPr="00947E59">
        <w:rPr>
          <w:rFonts w:cs="Arial"/>
          <w:szCs w:val="18"/>
          <w:lang w:val="en-GB"/>
        </w:rPr>
        <w:t xml:space="preserve">The exact parameters </w:t>
      </w:r>
      <m:oMath>
        <m:sSub>
          <m:sSubPr>
            <m:ctrlPr>
              <w:rPr>
                <w:rFonts w:ascii="Cambria Math" w:hAnsi="Cambria Math" w:cs="Arial"/>
                <w:i/>
                <w:color w:val="000000"/>
                <w:szCs w:val="18"/>
                <w:lang w:val="en-GB"/>
              </w:rPr>
            </m:ctrlPr>
          </m:sSubPr>
          <m:e>
            <m:r>
              <w:rPr>
                <w:rFonts w:ascii="Cambria Math" w:hAnsi="Cambria Math" w:cs="Arial"/>
                <w:color w:val="000000"/>
                <w:szCs w:val="18"/>
              </w:rPr>
              <m:t>C</m:t>
            </m:r>
          </m:e>
          <m:sub>
            <m:r>
              <w:rPr>
                <w:rFonts w:ascii="Cambria Math" w:hAnsi="Cambria Math" w:cs="Arial"/>
                <w:color w:val="000000"/>
                <w:szCs w:val="18"/>
              </w:rPr>
              <m:t>1</m:t>
            </m:r>
          </m:sub>
        </m:sSub>
        <m:r>
          <w:rPr>
            <w:rFonts w:ascii="Cambria Math" w:hAnsi="Cambria Math" w:cs="Arial"/>
            <w:color w:val="000000"/>
            <w:szCs w:val="18"/>
            <w:lang w:val="en-GB"/>
          </w:rPr>
          <m:t>,</m:t>
        </m:r>
        <m:sSub>
          <m:sSubPr>
            <m:ctrlPr>
              <w:rPr>
                <w:rFonts w:ascii="Cambria Math" w:hAnsi="Cambria Math" w:cs="Arial"/>
                <w:i/>
                <w:color w:val="000000"/>
                <w:szCs w:val="18"/>
                <w:lang w:val="en-GB"/>
              </w:rPr>
            </m:ctrlPr>
          </m:sSubPr>
          <m:e>
            <m:r>
              <w:rPr>
                <w:rFonts w:ascii="Cambria Math" w:hAnsi="Cambria Math" w:cs="Arial"/>
                <w:color w:val="000000"/>
                <w:szCs w:val="18"/>
              </w:rPr>
              <m:t>C</m:t>
            </m:r>
          </m:e>
          <m:sub>
            <m:r>
              <w:rPr>
                <w:rFonts w:ascii="Cambria Math" w:hAnsi="Cambria Math" w:cs="Arial"/>
                <w:color w:val="000000"/>
                <w:szCs w:val="18"/>
                <w:lang w:val="en-GB"/>
              </w:rPr>
              <m:t>2</m:t>
            </m:r>
          </m:sub>
        </m:sSub>
        <m:r>
          <w:rPr>
            <w:rFonts w:ascii="Cambria Math" w:hAnsi="Cambria Math" w:cs="Arial"/>
            <w:color w:val="000000"/>
            <w:szCs w:val="18"/>
            <w:lang w:val="en-GB"/>
          </w:rPr>
          <m:t xml:space="preserve"> </m:t>
        </m:r>
      </m:oMath>
      <w:r w:rsidR="00947E59" w:rsidRPr="00947E59">
        <w:rPr>
          <w:rFonts w:cs="Arial"/>
          <w:color w:val="000000"/>
          <w:szCs w:val="18"/>
          <w:lang w:val="en-GB"/>
        </w:rPr>
        <w:t xml:space="preserve">and the wavelengths </w:t>
      </w:r>
      <m:oMath>
        <m:sSub>
          <m:sSubPr>
            <m:ctrlPr>
              <w:rPr>
                <w:rFonts w:ascii="Cambria Math" w:hAnsi="Cambria Math" w:cs="Arial"/>
                <w:i/>
                <w:color w:val="000000"/>
                <w:szCs w:val="18"/>
                <w:lang w:val="en-GB"/>
              </w:rPr>
            </m:ctrlPr>
          </m:sSubPr>
          <m:e>
            <m:r>
              <w:rPr>
                <w:rFonts w:ascii="Cambria Math" w:hAnsi="Cambria Math" w:cs="Arial"/>
                <w:color w:val="000000"/>
                <w:szCs w:val="18"/>
              </w:rPr>
              <m:t>λ</m:t>
            </m:r>
          </m:e>
          <m:sub>
            <m:r>
              <w:rPr>
                <w:rFonts w:ascii="Cambria Math" w:hAnsi="Cambria Math" w:cs="Arial"/>
                <w:color w:val="000000"/>
                <w:szCs w:val="18"/>
              </w:rPr>
              <m:t>1</m:t>
            </m:r>
          </m:sub>
        </m:sSub>
        <m:r>
          <w:rPr>
            <w:rFonts w:ascii="Cambria Math" w:hAnsi="Cambria Math" w:cs="Arial"/>
            <w:color w:val="000000"/>
            <w:szCs w:val="18"/>
            <w:lang w:val="en-GB"/>
          </w:rPr>
          <m:t>,</m:t>
        </m:r>
        <m:sSub>
          <m:sSubPr>
            <m:ctrlPr>
              <w:rPr>
                <w:rFonts w:ascii="Cambria Math" w:hAnsi="Cambria Math" w:cs="Arial"/>
                <w:i/>
                <w:color w:val="000000"/>
                <w:szCs w:val="18"/>
                <w:lang w:val="en-GB"/>
              </w:rPr>
            </m:ctrlPr>
          </m:sSubPr>
          <m:e>
            <m:r>
              <w:rPr>
                <w:rFonts w:ascii="Cambria Math" w:hAnsi="Cambria Math" w:cs="Arial"/>
                <w:color w:val="000000"/>
                <w:szCs w:val="18"/>
              </w:rPr>
              <m:t>λ</m:t>
            </m:r>
          </m:e>
          <m:sub>
            <m:r>
              <w:rPr>
                <w:rFonts w:ascii="Cambria Math" w:hAnsi="Cambria Math" w:cs="Arial"/>
                <w:color w:val="000000"/>
                <w:szCs w:val="18"/>
              </w:rPr>
              <m:t>2</m:t>
            </m:r>
          </m:sub>
        </m:sSub>
      </m:oMath>
      <w:r w:rsidR="004B51D1" w:rsidRPr="00947E59">
        <w:rPr>
          <w:rFonts w:cs="Arial"/>
          <w:szCs w:val="18"/>
          <w:lang w:val="en-GB"/>
        </w:rPr>
        <w:t xml:space="preserve">depend on which solvent was used: acetone or methanol </w:t>
      </w:r>
      <w:r w:rsidR="00544D5E" w:rsidRPr="00947E59">
        <w:rPr>
          <w:rFonts w:cs="Arial"/>
          <w:szCs w:val="18"/>
          <w:lang w:val="en-GB"/>
        </w:rPr>
        <w:t>(Huang et al., 2016</w:t>
      </w:r>
      <w:r w:rsidR="004B51D1" w:rsidRPr="00947E59">
        <w:rPr>
          <w:rFonts w:cs="Arial"/>
          <w:szCs w:val="18"/>
          <w:lang w:val="en-GB"/>
        </w:rPr>
        <w:t xml:space="preserve">; </w:t>
      </w:r>
      <w:proofErr w:type="spellStart"/>
      <w:r w:rsidR="004B51D1" w:rsidRPr="00947E59">
        <w:rPr>
          <w:rFonts w:cs="Arial"/>
          <w:szCs w:val="18"/>
          <w:lang w:val="en-GB"/>
        </w:rPr>
        <w:t>Outon</w:t>
      </w:r>
      <w:proofErr w:type="spellEnd"/>
      <w:r w:rsidR="004B51D1" w:rsidRPr="00947E59">
        <w:rPr>
          <w:rFonts w:cs="Arial"/>
          <w:szCs w:val="18"/>
          <w:lang w:val="en-GB"/>
        </w:rPr>
        <w:t>, 2019</w:t>
      </w:r>
      <w:r w:rsidR="00544D5E" w:rsidRPr="00947E59">
        <w:rPr>
          <w:rFonts w:cs="Arial"/>
          <w:szCs w:val="18"/>
          <w:lang w:val="en-GB"/>
        </w:rPr>
        <w:t>)</w:t>
      </w:r>
      <w:r w:rsidR="004B51D1" w:rsidRPr="00947E59">
        <w:rPr>
          <w:rFonts w:cs="Arial"/>
          <w:szCs w:val="18"/>
          <w:lang w:val="en-GB"/>
        </w:rPr>
        <w:t>.</w:t>
      </w:r>
      <w:r w:rsidR="00947E59" w:rsidRPr="00947E59">
        <w:rPr>
          <w:rFonts w:cs="Arial"/>
          <w:szCs w:val="18"/>
          <w:lang w:val="en-GB"/>
        </w:rPr>
        <w:t xml:space="preserve"> </w:t>
      </w:r>
    </w:p>
    <w:p w14:paraId="21A52A1A" w14:textId="6E85B372" w:rsidR="00947E59" w:rsidRPr="00947E59" w:rsidRDefault="00947E59" w:rsidP="00947E59">
      <w:pPr>
        <w:pStyle w:val="CETheadingx"/>
      </w:pPr>
      <w:r w:rsidRPr="00947E59">
        <w:t>Sunscreen formulation</w:t>
      </w:r>
    </w:p>
    <w:p w14:paraId="327EBC7C" w14:textId="5DC2487B" w:rsidR="00947E59" w:rsidRDefault="00947E59" w:rsidP="00947E59">
      <w:pPr>
        <w:pStyle w:val="CETBodytext"/>
        <w:rPr>
          <w:lang w:val="en-GB"/>
        </w:rPr>
      </w:pPr>
      <w:r w:rsidRPr="00947E59">
        <w:rPr>
          <w:lang w:val="en-GB"/>
        </w:rPr>
        <w:t xml:space="preserve">A semi-solid formulation was prepared by means of an oil-in-water (O/W) emulsion, intended for topical application </w:t>
      </w:r>
      <w:r>
        <w:rPr>
          <w:lang w:val="en-GB"/>
        </w:rPr>
        <w:t xml:space="preserve">with </w:t>
      </w:r>
      <w:r w:rsidRPr="00947E59">
        <w:rPr>
          <w:lang w:val="en-GB"/>
        </w:rPr>
        <w:t>a protective effect (Rios, 2020).</w:t>
      </w:r>
      <w:r>
        <w:rPr>
          <w:lang w:val="en-GB"/>
        </w:rPr>
        <w:t xml:space="preserve"> </w:t>
      </w:r>
      <w:r w:rsidRPr="00947E59">
        <w:rPr>
          <w:lang w:val="en-GB"/>
        </w:rPr>
        <w:t xml:space="preserve">The compounds used were separated </w:t>
      </w:r>
      <w:r>
        <w:rPr>
          <w:lang w:val="en-GB"/>
        </w:rPr>
        <w:t>in</w:t>
      </w:r>
      <w:r w:rsidRPr="00947E59">
        <w:rPr>
          <w:lang w:val="en-GB"/>
        </w:rPr>
        <w:t xml:space="preserve"> PHASE A (oily) and PHASE B (aqueous). </w:t>
      </w:r>
      <w:r>
        <w:rPr>
          <w:lang w:val="en-GB"/>
        </w:rPr>
        <w:t>All compounds were added according to</w:t>
      </w:r>
      <w:r w:rsidRPr="00947E59">
        <w:rPr>
          <w:lang w:val="en-GB"/>
        </w:rPr>
        <w:t xml:space="preserve"> limits allowed by the FDA (U.S. Food &amp; Drug, 2023)</w:t>
      </w:r>
      <w:r>
        <w:rPr>
          <w:lang w:val="en-GB"/>
        </w:rPr>
        <w:t xml:space="preserve">. </w:t>
      </w:r>
      <w:r w:rsidR="00573AAC">
        <w:rPr>
          <w:lang w:val="en-GB"/>
        </w:rPr>
        <w:t xml:space="preserve">Finally, </w:t>
      </w:r>
      <w:r w:rsidR="00573AAC" w:rsidRPr="00573AAC">
        <w:rPr>
          <w:lang w:val="en-GB"/>
        </w:rPr>
        <w:t>protection factor (SPF)</w:t>
      </w:r>
      <w:r w:rsidR="00573AAC">
        <w:rPr>
          <w:lang w:val="en-GB"/>
        </w:rPr>
        <w:t xml:space="preserve"> was evaluated by </w:t>
      </w:r>
      <w:r w:rsidR="00573AAC" w:rsidRPr="00573AAC">
        <w:rPr>
          <w:lang w:val="en-GB"/>
        </w:rPr>
        <w:t xml:space="preserve">UV spectrophotometry in a wavelength range </w:t>
      </w:r>
      <w:r w:rsidR="00CF0293">
        <w:rPr>
          <w:lang w:val="en-GB"/>
        </w:rPr>
        <w:t>from</w:t>
      </w:r>
      <w:r w:rsidR="00573AAC" w:rsidRPr="00573AAC">
        <w:rPr>
          <w:lang w:val="en-GB"/>
        </w:rPr>
        <w:t xml:space="preserve"> 290 to 320 nm, with intervals of 5 nm, where the determination of the SPF, which is the correlation between the erythema effect (EE) and the radiation intensity</w:t>
      </w:r>
      <w:r w:rsidR="00CF0293">
        <w:rPr>
          <w:lang w:val="en-GB"/>
        </w:rPr>
        <w:t xml:space="preserve"> </w:t>
      </w:r>
      <w:r w:rsidR="00CF0293" w:rsidRPr="00573AAC">
        <w:rPr>
          <w:lang w:val="en-GB"/>
        </w:rPr>
        <w:t>(</w:t>
      </w:r>
      <w:r w:rsidR="00CF0293" w:rsidRPr="00CF0293">
        <w:rPr>
          <w:rFonts w:ascii="Symbol" w:hAnsi="Symbol"/>
          <w:i/>
          <w:lang w:val="en-GB"/>
        </w:rPr>
        <w:t></w:t>
      </w:r>
      <w:r w:rsidR="00CF0293" w:rsidRPr="00573AAC">
        <w:rPr>
          <w:lang w:val="en-GB"/>
        </w:rPr>
        <w:t>)</w:t>
      </w:r>
      <w:r w:rsidR="00573AAC" w:rsidRPr="00573AAC">
        <w:rPr>
          <w:lang w:val="en-GB"/>
        </w:rPr>
        <w:t xml:space="preserve"> at each wavelength (</w:t>
      </w:r>
      <w:r w:rsidR="00CF0293">
        <w:rPr>
          <w:rFonts w:ascii="Symbol" w:hAnsi="Symbol"/>
          <w:lang w:val="en-GB"/>
        </w:rPr>
        <w:t></w:t>
      </w:r>
      <w:r w:rsidR="00573AAC" w:rsidRPr="00573AAC">
        <w:rPr>
          <w:lang w:val="en-GB"/>
        </w:rPr>
        <w:t>) adapts to the following equation (Reis Mansur et al., 2016)</w:t>
      </w:r>
      <w:r w:rsidR="00CF0293">
        <w:rPr>
          <w:lang w:val="en-GB"/>
        </w:rPr>
        <w:t xml:space="preserve"> where CF is the correction factor which values 10, and </w:t>
      </w:r>
      <m:oMath>
        <m:r>
          <w:rPr>
            <w:rFonts w:ascii="Cambria Math" w:hAnsi="Cambria Math"/>
            <w:sz w:val="20"/>
            <w:szCs w:val="24"/>
          </w:rPr>
          <m:t xml:space="preserve">Abs </m:t>
        </m:r>
      </m:oMath>
      <w:r w:rsidR="00CF0293">
        <w:rPr>
          <w:lang w:val="en-GB"/>
        </w:rPr>
        <w:t>is the optical absorbance at each wavelength in the range:</w:t>
      </w:r>
    </w:p>
    <w:tbl>
      <w:tblPr>
        <w:tblW w:w="5000" w:type="pct"/>
        <w:tblLook w:val="04A0" w:firstRow="1" w:lastRow="0" w:firstColumn="1" w:lastColumn="0" w:noHBand="0" w:noVBand="1"/>
      </w:tblPr>
      <w:tblGrid>
        <w:gridCol w:w="7985"/>
        <w:gridCol w:w="802"/>
      </w:tblGrid>
      <w:tr w:rsidR="006F28FD" w:rsidRPr="00C538D9" w14:paraId="2F56DF00" w14:textId="77777777" w:rsidTr="00600FF9">
        <w:tc>
          <w:tcPr>
            <w:tcW w:w="7985" w:type="dxa"/>
            <w:shd w:val="clear" w:color="auto" w:fill="auto"/>
            <w:vAlign w:val="center"/>
          </w:tcPr>
          <w:p w14:paraId="12AA33F5" w14:textId="3BC3DE67" w:rsidR="006F28FD" w:rsidRPr="006F28FD" w:rsidRDefault="006F28FD" w:rsidP="00600FF9">
            <w:pPr>
              <w:pStyle w:val="CETEquation"/>
              <w:rPr>
                <w:sz w:val="20"/>
              </w:rPr>
            </w:pPr>
            <m:oMathPara>
              <m:oMathParaPr>
                <m:jc m:val="left"/>
              </m:oMathParaPr>
              <m:oMath>
                <m:r>
                  <w:rPr>
                    <w:rFonts w:ascii="Cambria Math" w:hAnsi="Cambria Math"/>
                    <w:sz w:val="20"/>
                    <w:szCs w:val="24"/>
                  </w:rPr>
                  <m:t>FPS=CF*</m:t>
                </m:r>
                <m:nary>
                  <m:naryPr>
                    <m:chr m:val="∑"/>
                    <m:ctrlPr>
                      <w:rPr>
                        <w:rFonts w:ascii="Cambria Math" w:hAnsi="Cambria Math"/>
                        <w:i/>
                        <w:iCs/>
                        <w:sz w:val="20"/>
                        <w:szCs w:val="24"/>
                      </w:rPr>
                    </m:ctrlPr>
                  </m:naryPr>
                  <m:sub>
                    <m:r>
                      <w:rPr>
                        <w:rFonts w:ascii="Cambria Math" w:hAnsi="Cambria Math"/>
                        <w:sz w:val="20"/>
                        <w:szCs w:val="24"/>
                      </w:rPr>
                      <m:t>290</m:t>
                    </m:r>
                  </m:sub>
                  <m:sup>
                    <m:r>
                      <w:rPr>
                        <w:rFonts w:ascii="Cambria Math" w:hAnsi="Cambria Math"/>
                        <w:sz w:val="20"/>
                        <w:szCs w:val="24"/>
                      </w:rPr>
                      <m:t>320</m:t>
                    </m:r>
                  </m:sup>
                  <m:e>
                    <m:r>
                      <w:rPr>
                        <w:rFonts w:ascii="Cambria Math" w:hAnsi="Cambria Math"/>
                        <w:sz w:val="20"/>
                        <w:szCs w:val="24"/>
                      </w:rPr>
                      <m:t>EE</m:t>
                    </m:r>
                    <m:d>
                      <m:dPr>
                        <m:ctrlPr>
                          <w:rPr>
                            <w:rFonts w:ascii="Cambria Math" w:hAnsi="Cambria Math"/>
                            <w:i/>
                            <w:iCs/>
                            <w:sz w:val="20"/>
                            <w:szCs w:val="24"/>
                          </w:rPr>
                        </m:ctrlPr>
                      </m:dPr>
                      <m:e>
                        <m:r>
                          <w:rPr>
                            <w:rFonts w:ascii="Cambria Math" w:hAnsi="Cambria Math"/>
                            <w:sz w:val="20"/>
                            <w:szCs w:val="24"/>
                          </w:rPr>
                          <m:t>λ</m:t>
                        </m:r>
                      </m:e>
                    </m:d>
                    <m:r>
                      <w:rPr>
                        <w:rFonts w:ascii="Cambria Math" w:hAnsi="Cambria Math"/>
                        <w:sz w:val="20"/>
                        <w:szCs w:val="24"/>
                      </w:rPr>
                      <m:t>*I</m:t>
                    </m:r>
                    <m:d>
                      <m:dPr>
                        <m:ctrlPr>
                          <w:rPr>
                            <w:rFonts w:ascii="Cambria Math" w:hAnsi="Cambria Math"/>
                            <w:i/>
                            <w:iCs/>
                            <w:sz w:val="20"/>
                            <w:szCs w:val="24"/>
                          </w:rPr>
                        </m:ctrlPr>
                      </m:dPr>
                      <m:e>
                        <m:r>
                          <w:rPr>
                            <w:rFonts w:ascii="Cambria Math" w:hAnsi="Cambria Math"/>
                            <w:sz w:val="20"/>
                            <w:szCs w:val="24"/>
                          </w:rPr>
                          <m:t>λ</m:t>
                        </m:r>
                      </m:e>
                    </m:d>
                    <m:r>
                      <w:rPr>
                        <w:rFonts w:ascii="Cambria Math" w:hAnsi="Cambria Math"/>
                        <w:sz w:val="20"/>
                        <w:szCs w:val="24"/>
                      </w:rPr>
                      <m:t>*Abs(λ)</m:t>
                    </m:r>
                  </m:e>
                </m:nary>
              </m:oMath>
            </m:oMathPara>
          </w:p>
        </w:tc>
        <w:tc>
          <w:tcPr>
            <w:tcW w:w="802" w:type="dxa"/>
            <w:shd w:val="clear" w:color="auto" w:fill="auto"/>
            <w:vAlign w:val="center"/>
          </w:tcPr>
          <w:p w14:paraId="2697F9CC" w14:textId="4AB54F3E" w:rsidR="006F28FD" w:rsidRPr="00C538D9" w:rsidRDefault="006F28FD" w:rsidP="00600FF9">
            <w:pPr>
              <w:pStyle w:val="CETEquation"/>
            </w:pPr>
            <w:r w:rsidRPr="00C538D9">
              <w:t>(</w:t>
            </w:r>
            <w:r w:rsidR="00CF0293">
              <w:t>6</w:t>
            </w:r>
            <w:r w:rsidRPr="00C538D9">
              <w:t>)</w:t>
            </w:r>
          </w:p>
        </w:tc>
      </w:tr>
    </w:tbl>
    <w:p w14:paraId="677EBFF0" w14:textId="333E87AC" w:rsidR="00600535" w:rsidRPr="00B57B36" w:rsidRDefault="00D80303" w:rsidP="00600535">
      <w:pPr>
        <w:pStyle w:val="CETHeading1"/>
        <w:tabs>
          <w:tab w:val="right" w:pos="7100"/>
        </w:tabs>
        <w:jc w:val="both"/>
        <w:rPr>
          <w:lang w:val="en-GB"/>
        </w:rPr>
      </w:pPr>
      <w:r>
        <w:rPr>
          <w:lang w:val="en-GB"/>
        </w:rPr>
        <w:t>Results</w:t>
      </w:r>
    </w:p>
    <w:p w14:paraId="04963A06" w14:textId="5D030542" w:rsidR="00600535" w:rsidRPr="00B57B36" w:rsidRDefault="00A36DE4" w:rsidP="00FA5F5F">
      <w:pPr>
        <w:pStyle w:val="CETheadingx"/>
      </w:pPr>
      <w:r>
        <w:t xml:space="preserve">Effect of light on </w:t>
      </w:r>
      <w:r w:rsidR="00CF0293">
        <w:t>Microalgae growth</w:t>
      </w:r>
    </w:p>
    <w:p w14:paraId="123CB7DF" w14:textId="32C66A74" w:rsidR="00600535" w:rsidRPr="00B57B36" w:rsidRDefault="00A36DE4" w:rsidP="00600535">
      <w:pPr>
        <w:pStyle w:val="CETBodytext"/>
        <w:rPr>
          <w:lang w:val="en-GB"/>
        </w:rPr>
      </w:pPr>
      <w:r>
        <w:rPr>
          <w:lang w:val="en-GB"/>
        </w:rPr>
        <w:t>Red light LED, used in Culture 1, l</w:t>
      </w:r>
      <w:r w:rsidRPr="00A36DE4">
        <w:rPr>
          <w:lang w:val="en-GB"/>
        </w:rPr>
        <w:t>ed to a specific growth rate in the exponential phase of 0.22 d</w:t>
      </w:r>
      <w:r w:rsidRPr="00A36DE4">
        <w:rPr>
          <w:vertAlign w:val="superscript"/>
          <w:lang w:val="en-GB"/>
        </w:rPr>
        <w:t>-1</w:t>
      </w:r>
      <w:r w:rsidRPr="00A36DE4">
        <w:rPr>
          <w:lang w:val="en-GB"/>
        </w:rPr>
        <w:t>, a productivity of 0.52 g L</w:t>
      </w:r>
      <w:r w:rsidRPr="00A36DE4">
        <w:rPr>
          <w:vertAlign w:val="superscript"/>
          <w:lang w:val="en-GB"/>
        </w:rPr>
        <w:t>-1</w:t>
      </w:r>
      <w:r w:rsidRPr="00A36DE4">
        <w:rPr>
          <w:lang w:val="en-GB"/>
        </w:rPr>
        <w:t xml:space="preserve"> d</w:t>
      </w:r>
      <w:r w:rsidRPr="00A36DE4">
        <w:rPr>
          <w:vertAlign w:val="superscript"/>
          <w:lang w:val="en-GB"/>
        </w:rPr>
        <w:t>-1</w:t>
      </w:r>
      <w:r w:rsidRPr="00A36DE4">
        <w:rPr>
          <w:lang w:val="en-GB"/>
        </w:rPr>
        <w:t>, and a dry weight of 14.47 g L</w:t>
      </w:r>
      <w:r w:rsidRPr="00A36DE4">
        <w:rPr>
          <w:vertAlign w:val="superscript"/>
          <w:lang w:val="en-GB"/>
        </w:rPr>
        <w:t>-1</w:t>
      </w:r>
      <w:r w:rsidRPr="00A36DE4">
        <w:rPr>
          <w:lang w:val="en-GB"/>
        </w:rPr>
        <w:t xml:space="preserve">. As for </w:t>
      </w:r>
      <w:r>
        <w:rPr>
          <w:lang w:val="en-GB"/>
        </w:rPr>
        <w:t>Culture</w:t>
      </w:r>
      <w:r w:rsidRPr="00A36DE4">
        <w:rPr>
          <w:lang w:val="en-GB"/>
        </w:rPr>
        <w:t xml:space="preserve"> 2, the white LED light intensity led to a specific growth rate in the exponential phase of 0.31 d</w:t>
      </w:r>
      <w:r w:rsidRPr="00A36DE4">
        <w:rPr>
          <w:vertAlign w:val="superscript"/>
          <w:lang w:val="en-GB"/>
        </w:rPr>
        <w:t>-1</w:t>
      </w:r>
      <w:r w:rsidRPr="00A36DE4">
        <w:rPr>
          <w:lang w:val="en-GB"/>
        </w:rPr>
        <w:t>, a productivity of 1.24 g L</w:t>
      </w:r>
      <w:r w:rsidRPr="00A36DE4">
        <w:rPr>
          <w:vertAlign w:val="superscript"/>
          <w:lang w:val="en-GB"/>
        </w:rPr>
        <w:t>-1</w:t>
      </w:r>
      <w:r w:rsidRPr="00A36DE4">
        <w:rPr>
          <w:lang w:val="en-GB"/>
        </w:rPr>
        <w:t xml:space="preserve"> d</w:t>
      </w:r>
      <w:r w:rsidRPr="00A36DE4">
        <w:rPr>
          <w:vertAlign w:val="superscript"/>
          <w:lang w:val="en-GB"/>
        </w:rPr>
        <w:t>-1</w:t>
      </w:r>
      <w:r w:rsidRPr="00A36DE4">
        <w:rPr>
          <w:lang w:val="en-GB"/>
        </w:rPr>
        <w:t>, and a dry weight of 34.61 g L</w:t>
      </w:r>
      <w:r w:rsidRPr="00A36DE4">
        <w:rPr>
          <w:vertAlign w:val="superscript"/>
          <w:lang w:val="en-GB"/>
        </w:rPr>
        <w:t>-1</w:t>
      </w:r>
      <w:r>
        <w:rPr>
          <w:lang w:val="en-GB"/>
        </w:rPr>
        <w:t xml:space="preserve">. </w:t>
      </w:r>
      <w:r w:rsidR="00CF0293" w:rsidRPr="00CF0293">
        <w:rPr>
          <w:lang w:val="en-GB"/>
        </w:rPr>
        <w:t xml:space="preserve">The highest cellular growth rate, dry weight, and productivity for the </w:t>
      </w:r>
      <w:r>
        <w:rPr>
          <w:lang w:val="en-GB"/>
        </w:rPr>
        <w:t xml:space="preserve">Culture 2, with </w:t>
      </w:r>
      <w:r w:rsidR="00CF0293" w:rsidRPr="00CF0293">
        <w:rPr>
          <w:lang w:val="en-GB"/>
        </w:rPr>
        <w:t xml:space="preserve">white LED </w:t>
      </w:r>
      <w:r>
        <w:rPr>
          <w:lang w:val="en-GB"/>
        </w:rPr>
        <w:t>light,</w:t>
      </w:r>
      <w:r w:rsidR="00CF0293" w:rsidRPr="00CF0293">
        <w:rPr>
          <w:lang w:val="en-GB"/>
        </w:rPr>
        <w:t xml:space="preserve"> </w:t>
      </w:r>
      <w:r>
        <w:rPr>
          <w:lang w:val="en-GB"/>
        </w:rPr>
        <w:t>is the same behaviour found in literature (</w:t>
      </w:r>
      <w:r w:rsidRPr="00A36DE4">
        <w:rPr>
          <w:lang w:val="en-GB"/>
        </w:rPr>
        <w:t>Martinez et al., 2022</w:t>
      </w:r>
      <w:r>
        <w:rPr>
          <w:lang w:val="en-GB"/>
        </w:rPr>
        <w:t>).</w:t>
      </w:r>
    </w:p>
    <w:p w14:paraId="58188085" w14:textId="77777777" w:rsidR="00A36DE4" w:rsidRPr="00B57B36" w:rsidRDefault="00A36DE4" w:rsidP="00A36DE4">
      <w:pPr>
        <w:pStyle w:val="CETheadingx"/>
      </w:pPr>
      <w:r>
        <w:lastRenderedPageBreak/>
        <w:t>Metabolites extraction and quantification</w:t>
      </w:r>
    </w:p>
    <w:p w14:paraId="699CB4DA" w14:textId="275F7BA1" w:rsidR="00EA7DC2" w:rsidRDefault="008E70BF" w:rsidP="008E70BF">
      <w:pPr>
        <w:pStyle w:val="CETBodytext"/>
      </w:pPr>
      <w:r w:rsidRPr="008E70BF">
        <w:t xml:space="preserve">The amount of biomass obtained in </w:t>
      </w:r>
      <w:r>
        <w:t>Culture</w:t>
      </w:r>
      <w:r w:rsidRPr="008E70BF">
        <w:t xml:space="preserve"> 1 was not sufficient to perform carotenoid extraction, only for mycosporines</w:t>
      </w:r>
      <w:r w:rsidR="00EA7DC2">
        <w:t xml:space="preserve">, the first procedure made </w:t>
      </w:r>
      <w:r w:rsidRPr="008E70BF">
        <w:t xml:space="preserve">under four </w:t>
      </w:r>
      <w:r w:rsidR="00EA7DC2">
        <w:t xml:space="preserve">different </w:t>
      </w:r>
      <w:r w:rsidRPr="008E70BF">
        <w:t xml:space="preserve">conditions: with two solvents and evaluating the use of silica gel in sample drying. The results are shown in Table </w:t>
      </w:r>
      <w:r w:rsidR="00EA7DC2">
        <w:t>1</w:t>
      </w:r>
      <w:r w:rsidRPr="008E70BF">
        <w:t>.</w:t>
      </w:r>
    </w:p>
    <w:p w14:paraId="396BDD2A" w14:textId="3527048A" w:rsidR="00EA7DC2" w:rsidRPr="00B57B36" w:rsidRDefault="00EA7DC2" w:rsidP="00EA7DC2">
      <w:pPr>
        <w:pStyle w:val="CETTabletitle"/>
      </w:pPr>
      <w:r w:rsidRPr="00B57B36">
        <w:t xml:space="preserve">Table 1: </w:t>
      </w:r>
      <w:r w:rsidRPr="00EA7DC2">
        <w:t xml:space="preserve">Quantification of </w:t>
      </w:r>
      <w:r w:rsidR="005A5105" w:rsidRPr="00EA7DC2">
        <w:t>mycosporines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276"/>
        <w:gridCol w:w="992"/>
        <w:gridCol w:w="1134"/>
      </w:tblGrid>
      <w:tr w:rsidR="00EA7DC2" w:rsidRPr="00B57B36" w14:paraId="2AD7236A" w14:textId="77777777" w:rsidTr="00EA7DC2">
        <w:tc>
          <w:tcPr>
            <w:tcW w:w="1134" w:type="dxa"/>
            <w:vMerge w:val="restart"/>
            <w:tcBorders>
              <w:top w:val="single" w:sz="12" w:space="0" w:color="008000"/>
            </w:tcBorders>
            <w:shd w:val="clear" w:color="auto" w:fill="FFFFFF"/>
          </w:tcPr>
          <w:p w14:paraId="0BA7ACB5" w14:textId="77777777" w:rsidR="00EA7DC2" w:rsidRDefault="00EA7DC2" w:rsidP="00600FF9">
            <w:pPr>
              <w:pStyle w:val="CETBodytext"/>
              <w:rPr>
                <w:lang w:val="en-GB"/>
              </w:rPr>
            </w:pPr>
          </w:p>
          <w:p w14:paraId="7A105C7C" w14:textId="62EBD06C" w:rsidR="00EA7DC2" w:rsidRPr="00B57B36" w:rsidRDefault="00EA7DC2" w:rsidP="00600FF9">
            <w:pPr>
              <w:pStyle w:val="CETBodytext"/>
              <w:rPr>
                <w:lang w:val="en-GB"/>
              </w:rPr>
            </w:pPr>
            <w:r>
              <w:rPr>
                <w:lang w:val="en-GB"/>
              </w:rPr>
              <w:t>Solvent</w:t>
            </w:r>
          </w:p>
        </w:tc>
        <w:tc>
          <w:tcPr>
            <w:tcW w:w="2410" w:type="dxa"/>
            <w:gridSpan w:val="2"/>
            <w:tcBorders>
              <w:top w:val="single" w:sz="12" w:space="0" w:color="008000"/>
              <w:bottom w:val="single" w:sz="6" w:space="0" w:color="008000"/>
            </w:tcBorders>
            <w:shd w:val="clear" w:color="auto" w:fill="FFFFFF"/>
          </w:tcPr>
          <w:p w14:paraId="35073F46" w14:textId="1B2BC10E" w:rsidR="00EA7DC2" w:rsidRPr="00B57B36" w:rsidRDefault="00EA7DC2" w:rsidP="00EA7DC2">
            <w:pPr>
              <w:pStyle w:val="CETBodytext"/>
              <w:jc w:val="center"/>
              <w:rPr>
                <w:lang w:val="en-GB"/>
              </w:rPr>
            </w:pPr>
            <w:r>
              <w:rPr>
                <w:lang w:val="en-GB"/>
              </w:rPr>
              <w:t>Culture 1</w:t>
            </w:r>
          </w:p>
        </w:tc>
        <w:tc>
          <w:tcPr>
            <w:tcW w:w="2126" w:type="dxa"/>
            <w:gridSpan w:val="2"/>
            <w:tcBorders>
              <w:top w:val="single" w:sz="12" w:space="0" w:color="008000"/>
              <w:bottom w:val="single" w:sz="6" w:space="0" w:color="008000"/>
            </w:tcBorders>
            <w:shd w:val="clear" w:color="auto" w:fill="FFFFFF"/>
          </w:tcPr>
          <w:p w14:paraId="644AF648" w14:textId="7F82971A" w:rsidR="00EA7DC2" w:rsidRPr="00B57B36" w:rsidRDefault="00EA7DC2" w:rsidP="00EA7DC2">
            <w:pPr>
              <w:pStyle w:val="CETBodytext"/>
              <w:ind w:right="-1"/>
              <w:jc w:val="center"/>
              <w:rPr>
                <w:rFonts w:cs="Arial"/>
                <w:szCs w:val="18"/>
                <w:lang w:val="en-GB"/>
              </w:rPr>
            </w:pPr>
            <w:r>
              <w:rPr>
                <w:rFonts w:cs="Arial"/>
                <w:szCs w:val="18"/>
                <w:lang w:val="en-GB"/>
              </w:rPr>
              <w:t>Culture 2</w:t>
            </w:r>
          </w:p>
        </w:tc>
      </w:tr>
      <w:tr w:rsidR="00EA7DC2" w:rsidRPr="00B57B36" w14:paraId="03E1222F" w14:textId="77777777" w:rsidTr="00EA7DC2">
        <w:tc>
          <w:tcPr>
            <w:tcW w:w="1134" w:type="dxa"/>
            <w:vMerge/>
            <w:tcBorders>
              <w:bottom w:val="single" w:sz="6" w:space="0" w:color="008000"/>
            </w:tcBorders>
            <w:shd w:val="clear" w:color="auto" w:fill="FFFFFF"/>
          </w:tcPr>
          <w:p w14:paraId="0BB586E5" w14:textId="77777777" w:rsidR="00EA7DC2" w:rsidRPr="00B57B36" w:rsidRDefault="00EA7DC2" w:rsidP="00EA7DC2">
            <w:pPr>
              <w:pStyle w:val="CETBodytext"/>
              <w:rPr>
                <w:lang w:val="en-GB"/>
              </w:rPr>
            </w:pPr>
          </w:p>
        </w:tc>
        <w:tc>
          <w:tcPr>
            <w:tcW w:w="1134" w:type="dxa"/>
            <w:tcBorders>
              <w:top w:val="single" w:sz="12" w:space="0" w:color="008000"/>
              <w:bottom w:val="single" w:sz="6" w:space="0" w:color="008000"/>
            </w:tcBorders>
            <w:shd w:val="clear" w:color="auto" w:fill="FFFFFF"/>
          </w:tcPr>
          <w:p w14:paraId="1528F947" w14:textId="77777777" w:rsidR="00EA7DC2" w:rsidRDefault="00EA7DC2" w:rsidP="00EA7DC2">
            <w:pPr>
              <w:pStyle w:val="CETBodytext"/>
              <w:rPr>
                <w:lang w:val="en-GB"/>
              </w:rPr>
            </w:pPr>
            <w:r>
              <w:rPr>
                <w:lang w:val="en-GB"/>
              </w:rPr>
              <w:t>With silica</w:t>
            </w:r>
          </w:p>
          <w:p w14:paraId="4E04B750" w14:textId="5FEFC406" w:rsidR="00EA7DC2" w:rsidRPr="00B57B36" w:rsidRDefault="00EA7DC2" w:rsidP="00EA7DC2">
            <w:pPr>
              <w:pStyle w:val="CETBodytext"/>
              <w:jc w:val="left"/>
              <w:rPr>
                <w:lang w:val="en-GB"/>
              </w:rPr>
            </w:pPr>
            <w:r>
              <w:rPr>
                <w:lang w:val="en-GB"/>
              </w:rPr>
              <w:t>gel</w:t>
            </w:r>
          </w:p>
        </w:tc>
        <w:tc>
          <w:tcPr>
            <w:tcW w:w="1276" w:type="dxa"/>
            <w:tcBorders>
              <w:top w:val="single" w:sz="12" w:space="0" w:color="008000"/>
              <w:bottom w:val="single" w:sz="6" w:space="0" w:color="008000"/>
            </w:tcBorders>
            <w:shd w:val="clear" w:color="auto" w:fill="FFFFFF"/>
          </w:tcPr>
          <w:p w14:paraId="25F953C7" w14:textId="404D9488" w:rsidR="00EA7DC2" w:rsidRPr="00B57B36" w:rsidRDefault="00EA7DC2" w:rsidP="00EA7DC2">
            <w:pPr>
              <w:pStyle w:val="CETBodytext"/>
              <w:jc w:val="left"/>
              <w:rPr>
                <w:lang w:val="en-GB"/>
              </w:rPr>
            </w:pPr>
            <w:r>
              <w:rPr>
                <w:lang w:val="en-GB"/>
              </w:rPr>
              <w:t>Without silica gel</w:t>
            </w:r>
          </w:p>
        </w:tc>
        <w:tc>
          <w:tcPr>
            <w:tcW w:w="992" w:type="dxa"/>
            <w:tcBorders>
              <w:top w:val="single" w:sz="12" w:space="0" w:color="008000"/>
              <w:bottom w:val="single" w:sz="6" w:space="0" w:color="008000"/>
            </w:tcBorders>
            <w:shd w:val="clear" w:color="auto" w:fill="FFFFFF"/>
          </w:tcPr>
          <w:p w14:paraId="71C3CF30" w14:textId="77777777" w:rsidR="00EA7DC2" w:rsidRDefault="00EA7DC2" w:rsidP="00EA7DC2">
            <w:pPr>
              <w:pStyle w:val="CETBodytext"/>
              <w:rPr>
                <w:lang w:val="en-GB"/>
              </w:rPr>
            </w:pPr>
            <w:r>
              <w:rPr>
                <w:lang w:val="en-GB"/>
              </w:rPr>
              <w:t>With silica</w:t>
            </w:r>
          </w:p>
          <w:p w14:paraId="690FB95B" w14:textId="7FF051C1" w:rsidR="00EA7DC2" w:rsidRPr="00B57B36" w:rsidRDefault="00EA7DC2" w:rsidP="00EA7DC2">
            <w:pPr>
              <w:pStyle w:val="CETBodytext"/>
              <w:ind w:right="-1"/>
              <w:rPr>
                <w:rFonts w:cs="Arial"/>
                <w:szCs w:val="18"/>
                <w:lang w:val="en-GB"/>
              </w:rPr>
            </w:pPr>
            <w:r>
              <w:rPr>
                <w:lang w:val="en-GB"/>
              </w:rPr>
              <w:t>gel</w:t>
            </w:r>
          </w:p>
        </w:tc>
        <w:tc>
          <w:tcPr>
            <w:tcW w:w="1134" w:type="dxa"/>
            <w:tcBorders>
              <w:top w:val="single" w:sz="12" w:space="0" w:color="008000"/>
              <w:bottom w:val="single" w:sz="6" w:space="0" w:color="008000"/>
            </w:tcBorders>
            <w:shd w:val="clear" w:color="auto" w:fill="FFFFFF"/>
          </w:tcPr>
          <w:p w14:paraId="1B46BD84" w14:textId="417D59EA" w:rsidR="00EA7DC2" w:rsidRPr="00B57B36" w:rsidRDefault="00EA7DC2" w:rsidP="00EA7DC2">
            <w:pPr>
              <w:pStyle w:val="CETBodytext"/>
              <w:ind w:right="-1"/>
              <w:rPr>
                <w:rFonts w:cs="Arial"/>
                <w:szCs w:val="18"/>
                <w:lang w:val="en-GB"/>
              </w:rPr>
            </w:pPr>
            <w:r>
              <w:rPr>
                <w:lang w:val="en-GB"/>
              </w:rPr>
              <w:t>Without silica gel</w:t>
            </w:r>
          </w:p>
        </w:tc>
      </w:tr>
      <w:tr w:rsidR="00EA7DC2" w:rsidRPr="00B57B36" w14:paraId="38160EE8" w14:textId="77777777" w:rsidTr="00EA7DC2">
        <w:tc>
          <w:tcPr>
            <w:tcW w:w="1134" w:type="dxa"/>
            <w:shd w:val="clear" w:color="auto" w:fill="FFFFFF"/>
          </w:tcPr>
          <w:p w14:paraId="1A766BA2" w14:textId="3845C57A" w:rsidR="00EA7DC2" w:rsidRPr="00B57B36" w:rsidRDefault="00EA7DC2" w:rsidP="00EA7DC2">
            <w:pPr>
              <w:pStyle w:val="CETBodytext"/>
              <w:rPr>
                <w:lang w:val="en-GB"/>
              </w:rPr>
            </w:pPr>
            <w:r>
              <w:rPr>
                <w:lang w:val="en-GB"/>
              </w:rPr>
              <w:t>Methanol</w:t>
            </w:r>
          </w:p>
        </w:tc>
        <w:tc>
          <w:tcPr>
            <w:tcW w:w="1134" w:type="dxa"/>
            <w:shd w:val="clear" w:color="auto" w:fill="FFFFFF"/>
          </w:tcPr>
          <w:p w14:paraId="4C0BDC53" w14:textId="4AA905D6" w:rsidR="00EA7DC2" w:rsidRPr="00B57B36" w:rsidRDefault="00EA7DC2" w:rsidP="00EA7DC2">
            <w:pPr>
              <w:pStyle w:val="CETBodytext"/>
              <w:rPr>
                <w:lang w:val="en-GB"/>
              </w:rPr>
            </w:pPr>
            <w:r w:rsidRPr="00EA7DC2">
              <w:rPr>
                <w:lang w:val="en-GB"/>
              </w:rPr>
              <w:t xml:space="preserve">6.61 </w:t>
            </w:r>
            <w:proofErr w:type="spellStart"/>
            <w:r w:rsidRPr="00EA7DC2">
              <w:rPr>
                <w:lang w:val="en-GB"/>
              </w:rPr>
              <w:t>μg</w:t>
            </w:r>
            <w:proofErr w:type="spellEnd"/>
            <w:r w:rsidRPr="00EA7DC2">
              <w:rPr>
                <w:lang w:val="en-GB"/>
              </w:rPr>
              <w:t xml:space="preserve"> g</w:t>
            </w:r>
            <w:r w:rsidRPr="00EA7DC2">
              <w:rPr>
                <w:vertAlign w:val="superscript"/>
                <w:lang w:val="en-GB"/>
              </w:rPr>
              <w:t>-1</w:t>
            </w:r>
          </w:p>
        </w:tc>
        <w:tc>
          <w:tcPr>
            <w:tcW w:w="1276" w:type="dxa"/>
            <w:shd w:val="clear" w:color="auto" w:fill="FFFFFF"/>
          </w:tcPr>
          <w:p w14:paraId="7E103803" w14:textId="31F57B16" w:rsidR="00EA7DC2" w:rsidRPr="00B57B36" w:rsidRDefault="00EA7DC2" w:rsidP="00EA7DC2">
            <w:pPr>
              <w:pStyle w:val="CETBodytext"/>
              <w:rPr>
                <w:lang w:val="en-GB"/>
              </w:rPr>
            </w:pPr>
            <w:r>
              <w:rPr>
                <w:lang w:val="en-GB"/>
              </w:rPr>
              <w:t xml:space="preserve">6.22 </w:t>
            </w:r>
            <w:proofErr w:type="spellStart"/>
            <w:r w:rsidRPr="00EA7DC2">
              <w:rPr>
                <w:lang w:val="en-GB"/>
              </w:rPr>
              <w:t>μg</w:t>
            </w:r>
            <w:proofErr w:type="spellEnd"/>
            <w:r w:rsidRPr="00EA7DC2">
              <w:rPr>
                <w:lang w:val="en-GB"/>
              </w:rPr>
              <w:t xml:space="preserve"> g</w:t>
            </w:r>
            <w:r w:rsidRPr="00EA7DC2">
              <w:rPr>
                <w:vertAlign w:val="superscript"/>
                <w:lang w:val="en-GB"/>
              </w:rPr>
              <w:t>-1</w:t>
            </w:r>
          </w:p>
        </w:tc>
        <w:tc>
          <w:tcPr>
            <w:tcW w:w="992" w:type="dxa"/>
            <w:shd w:val="clear" w:color="auto" w:fill="FFFFFF"/>
          </w:tcPr>
          <w:p w14:paraId="4F41BF74" w14:textId="30BB9E58" w:rsidR="00EA7DC2" w:rsidRPr="00B57B36" w:rsidRDefault="00EA7DC2" w:rsidP="00EA7DC2">
            <w:pPr>
              <w:pStyle w:val="CETBodytext"/>
              <w:ind w:right="-1"/>
              <w:rPr>
                <w:rFonts w:cs="Arial"/>
                <w:szCs w:val="18"/>
                <w:lang w:val="en-GB"/>
              </w:rPr>
            </w:pPr>
            <w:r>
              <w:rPr>
                <w:rFonts w:cs="Arial"/>
                <w:szCs w:val="18"/>
                <w:lang w:val="en-GB"/>
              </w:rPr>
              <w:t xml:space="preserve">2.98 </w:t>
            </w:r>
            <w:proofErr w:type="spellStart"/>
            <w:r w:rsidRPr="00EA7DC2">
              <w:rPr>
                <w:lang w:val="en-GB"/>
              </w:rPr>
              <w:t>μg</w:t>
            </w:r>
            <w:proofErr w:type="spellEnd"/>
            <w:r w:rsidRPr="00EA7DC2">
              <w:rPr>
                <w:lang w:val="en-GB"/>
              </w:rPr>
              <w:t xml:space="preserve"> g</w:t>
            </w:r>
            <w:r w:rsidRPr="00EA7DC2">
              <w:rPr>
                <w:vertAlign w:val="superscript"/>
                <w:lang w:val="en-GB"/>
              </w:rPr>
              <w:t>-1</w:t>
            </w:r>
          </w:p>
        </w:tc>
        <w:tc>
          <w:tcPr>
            <w:tcW w:w="1134" w:type="dxa"/>
            <w:shd w:val="clear" w:color="auto" w:fill="FFFFFF"/>
          </w:tcPr>
          <w:p w14:paraId="285AA26E" w14:textId="35E30F2E" w:rsidR="00EA7DC2" w:rsidRPr="00B57B36" w:rsidRDefault="00EA7DC2" w:rsidP="00EA7DC2">
            <w:pPr>
              <w:pStyle w:val="CETBodytext"/>
              <w:ind w:right="-1"/>
              <w:rPr>
                <w:rFonts w:cs="Arial"/>
                <w:szCs w:val="18"/>
                <w:lang w:val="en-GB"/>
              </w:rPr>
            </w:pPr>
            <w:r>
              <w:rPr>
                <w:rFonts w:cs="Arial"/>
                <w:szCs w:val="18"/>
                <w:lang w:val="en-GB"/>
              </w:rPr>
              <w:t xml:space="preserve">1.93 </w:t>
            </w:r>
            <w:proofErr w:type="spellStart"/>
            <w:r w:rsidRPr="00EA7DC2">
              <w:rPr>
                <w:lang w:val="en-GB"/>
              </w:rPr>
              <w:t>μg</w:t>
            </w:r>
            <w:proofErr w:type="spellEnd"/>
            <w:r w:rsidRPr="00EA7DC2">
              <w:rPr>
                <w:lang w:val="en-GB"/>
              </w:rPr>
              <w:t xml:space="preserve"> g</w:t>
            </w:r>
            <w:r w:rsidRPr="00EA7DC2">
              <w:rPr>
                <w:vertAlign w:val="superscript"/>
                <w:lang w:val="en-GB"/>
              </w:rPr>
              <w:t>-1</w:t>
            </w:r>
          </w:p>
        </w:tc>
      </w:tr>
      <w:tr w:rsidR="00EA7DC2" w:rsidRPr="00B57B36" w14:paraId="4DBFBF75" w14:textId="77777777" w:rsidTr="00EA7DC2">
        <w:tc>
          <w:tcPr>
            <w:tcW w:w="1134" w:type="dxa"/>
            <w:shd w:val="clear" w:color="auto" w:fill="FFFFFF"/>
          </w:tcPr>
          <w:p w14:paraId="4146B5EB" w14:textId="3D8422D6" w:rsidR="00EA7DC2" w:rsidRPr="00B57B36" w:rsidRDefault="00EA7DC2" w:rsidP="00EA7DC2">
            <w:pPr>
              <w:pStyle w:val="CETBodytext"/>
              <w:ind w:right="-1"/>
              <w:rPr>
                <w:rFonts w:cs="Arial"/>
                <w:szCs w:val="18"/>
                <w:lang w:val="en-GB"/>
              </w:rPr>
            </w:pPr>
            <w:r>
              <w:rPr>
                <w:rFonts w:cs="Arial"/>
                <w:szCs w:val="18"/>
                <w:lang w:val="en-GB"/>
              </w:rPr>
              <w:t>Acetone</w:t>
            </w:r>
          </w:p>
        </w:tc>
        <w:tc>
          <w:tcPr>
            <w:tcW w:w="1134" w:type="dxa"/>
            <w:shd w:val="clear" w:color="auto" w:fill="FFFFFF"/>
          </w:tcPr>
          <w:p w14:paraId="50BDD7D4" w14:textId="4D06BD31" w:rsidR="00EA7DC2" w:rsidRPr="00B57B36" w:rsidRDefault="00EA7DC2" w:rsidP="00EA7DC2">
            <w:pPr>
              <w:pStyle w:val="CETBodytext"/>
              <w:ind w:right="-1"/>
              <w:rPr>
                <w:rFonts w:cs="Arial"/>
                <w:szCs w:val="18"/>
                <w:lang w:val="en-GB"/>
              </w:rPr>
            </w:pPr>
            <w:r>
              <w:rPr>
                <w:rFonts w:cs="Arial"/>
                <w:szCs w:val="18"/>
                <w:lang w:val="en-GB"/>
              </w:rPr>
              <w:t xml:space="preserve">5.10 </w:t>
            </w:r>
            <w:proofErr w:type="spellStart"/>
            <w:r w:rsidRPr="00EA7DC2">
              <w:rPr>
                <w:lang w:val="en-GB"/>
              </w:rPr>
              <w:t>μg</w:t>
            </w:r>
            <w:proofErr w:type="spellEnd"/>
            <w:r w:rsidRPr="00EA7DC2">
              <w:rPr>
                <w:lang w:val="en-GB"/>
              </w:rPr>
              <w:t xml:space="preserve"> g</w:t>
            </w:r>
            <w:r w:rsidRPr="00EA7DC2">
              <w:rPr>
                <w:vertAlign w:val="superscript"/>
                <w:lang w:val="en-GB"/>
              </w:rPr>
              <w:t>-1</w:t>
            </w:r>
          </w:p>
        </w:tc>
        <w:tc>
          <w:tcPr>
            <w:tcW w:w="1276" w:type="dxa"/>
            <w:shd w:val="clear" w:color="auto" w:fill="FFFFFF"/>
          </w:tcPr>
          <w:p w14:paraId="1E0DC998" w14:textId="0D90DE06" w:rsidR="00EA7DC2" w:rsidRPr="00B57B36" w:rsidRDefault="00EA7DC2" w:rsidP="00EA7DC2">
            <w:pPr>
              <w:pStyle w:val="CETBodytext"/>
              <w:ind w:right="-1"/>
              <w:rPr>
                <w:rFonts w:cs="Arial"/>
                <w:szCs w:val="18"/>
                <w:lang w:val="en-GB"/>
              </w:rPr>
            </w:pPr>
            <w:r>
              <w:rPr>
                <w:rFonts w:cs="Arial"/>
                <w:szCs w:val="18"/>
                <w:lang w:val="en-GB"/>
              </w:rPr>
              <w:t xml:space="preserve">3.96 </w:t>
            </w:r>
            <w:proofErr w:type="spellStart"/>
            <w:r w:rsidRPr="00EA7DC2">
              <w:rPr>
                <w:lang w:val="en-GB"/>
              </w:rPr>
              <w:t>μg</w:t>
            </w:r>
            <w:proofErr w:type="spellEnd"/>
            <w:r w:rsidRPr="00EA7DC2">
              <w:rPr>
                <w:lang w:val="en-GB"/>
              </w:rPr>
              <w:t xml:space="preserve"> g</w:t>
            </w:r>
            <w:r w:rsidRPr="00EA7DC2">
              <w:rPr>
                <w:vertAlign w:val="superscript"/>
                <w:lang w:val="en-GB"/>
              </w:rPr>
              <w:t>-1</w:t>
            </w:r>
          </w:p>
        </w:tc>
        <w:tc>
          <w:tcPr>
            <w:tcW w:w="992" w:type="dxa"/>
            <w:shd w:val="clear" w:color="auto" w:fill="FFFFFF"/>
          </w:tcPr>
          <w:p w14:paraId="11FB7D13" w14:textId="754BDF26" w:rsidR="00EA7DC2" w:rsidRPr="00B57B36" w:rsidRDefault="00EA7DC2" w:rsidP="00EA7DC2">
            <w:pPr>
              <w:pStyle w:val="CETBodytext"/>
              <w:ind w:right="-1"/>
              <w:rPr>
                <w:rFonts w:cs="Arial"/>
                <w:szCs w:val="18"/>
                <w:lang w:val="en-GB"/>
              </w:rPr>
            </w:pPr>
            <w:r>
              <w:rPr>
                <w:rFonts w:cs="Arial"/>
                <w:szCs w:val="18"/>
                <w:lang w:val="en-GB"/>
              </w:rPr>
              <w:t xml:space="preserve">2.12 </w:t>
            </w:r>
            <w:proofErr w:type="spellStart"/>
            <w:r w:rsidRPr="00EA7DC2">
              <w:rPr>
                <w:lang w:val="en-GB"/>
              </w:rPr>
              <w:t>μg</w:t>
            </w:r>
            <w:proofErr w:type="spellEnd"/>
            <w:r w:rsidRPr="00EA7DC2">
              <w:rPr>
                <w:lang w:val="en-GB"/>
              </w:rPr>
              <w:t xml:space="preserve"> g</w:t>
            </w:r>
            <w:r w:rsidRPr="00EA7DC2">
              <w:rPr>
                <w:vertAlign w:val="superscript"/>
                <w:lang w:val="en-GB"/>
              </w:rPr>
              <w:t>-1</w:t>
            </w:r>
          </w:p>
        </w:tc>
        <w:tc>
          <w:tcPr>
            <w:tcW w:w="1134" w:type="dxa"/>
            <w:shd w:val="clear" w:color="auto" w:fill="FFFFFF"/>
          </w:tcPr>
          <w:p w14:paraId="77FA05DC" w14:textId="7FC517F2" w:rsidR="00EA7DC2" w:rsidRPr="00B57B36" w:rsidRDefault="00EA7DC2" w:rsidP="00EA7DC2">
            <w:pPr>
              <w:pStyle w:val="CETBodytext"/>
              <w:ind w:right="-1"/>
              <w:rPr>
                <w:rFonts w:cs="Arial"/>
                <w:szCs w:val="18"/>
                <w:lang w:val="en-GB"/>
              </w:rPr>
            </w:pPr>
            <w:r>
              <w:rPr>
                <w:rFonts w:cs="Arial"/>
                <w:szCs w:val="18"/>
                <w:lang w:val="en-GB"/>
              </w:rPr>
              <w:t>1.98</w:t>
            </w:r>
            <w:r w:rsidRPr="00EA7DC2">
              <w:rPr>
                <w:lang w:val="en-GB"/>
              </w:rPr>
              <w:t xml:space="preserve"> </w:t>
            </w:r>
            <w:proofErr w:type="spellStart"/>
            <w:r w:rsidRPr="00EA7DC2">
              <w:rPr>
                <w:lang w:val="en-GB"/>
              </w:rPr>
              <w:t>μg</w:t>
            </w:r>
            <w:proofErr w:type="spellEnd"/>
            <w:r w:rsidRPr="00EA7DC2">
              <w:rPr>
                <w:lang w:val="en-GB"/>
              </w:rPr>
              <w:t xml:space="preserve"> g</w:t>
            </w:r>
            <w:r w:rsidRPr="00EA7DC2">
              <w:rPr>
                <w:vertAlign w:val="superscript"/>
                <w:lang w:val="en-GB"/>
              </w:rPr>
              <w:t>-1</w:t>
            </w:r>
          </w:p>
        </w:tc>
      </w:tr>
    </w:tbl>
    <w:p w14:paraId="6AD0DEC1" w14:textId="77777777" w:rsidR="00EA7DC2" w:rsidRDefault="00EA7DC2" w:rsidP="008E70BF">
      <w:pPr>
        <w:pStyle w:val="CETBodytext"/>
      </w:pPr>
    </w:p>
    <w:p w14:paraId="088A134E" w14:textId="5B0C3740" w:rsidR="00600535" w:rsidRDefault="00915942" w:rsidP="008E70BF">
      <w:pPr>
        <w:pStyle w:val="CETBodytext"/>
      </w:pPr>
      <w:r>
        <w:t>A</w:t>
      </w:r>
      <w:r w:rsidR="008E70BF" w:rsidRPr="008E70BF">
        <w:t xml:space="preserve"> higher amount of mycosporines was obtained from the microalgal biomass of </w:t>
      </w:r>
      <w:r w:rsidR="00EA7DC2">
        <w:t>Culture</w:t>
      </w:r>
      <w:r w:rsidR="008E70BF" w:rsidRPr="008E70BF">
        <w:t xml:space="preserve"> 1 compared to </w:t>
      </w:r>
      <w:r w:rsidR="00EA7DC2">
        <w:t>Culture</w:t>
      </w:r>
      <w:r w:rsidR="008E70BF" w:rsidRPr="008E70BF">
        <w:t xml:space="preserve"> 2, which is consistent with Llewellyn et al</w:t>
      </w:r>
      <w:r>
        <w:t>.</w:t>
      </w:r>
      <w:r w:rsidR="008E70BF" w:rsidRPr="008E70BF">
        <w:t xml:space="preserve"> (2020) </w:t>
      </w:r>
      <w:r>
        <w:t>in their work with</w:t>
      </w:r>
      <w:r w:rsidR="008E70BF" w:rsidRPr="008E70BF">
        <w:t xml:space="preserve"> </w:t>
      </w:r>
      <w:proofErr w:type="spellStart"/>
      <w:r w:rsidR="008E70BF" w:rsidRPr="00EA7DC2">
        <w:rPr>
          <w:i/>
        </w:rPr>
        <w:t>Chlorogloeopsis</w:t>
      </w:r>
      <w:proofErr w:type="spellEnd"/>
      <w:r w:rsidR="008E70BF" w:rsidRPr="00EA7DC2">
        <w:rPr>
          <w:i/>
        </w:rPr>
        <w:t xml:space="preserve"> </w:t>
      </w:r>
      <w:proofErr w:type="spellStart"/>
      <w:r w:rsidR="008E70BF" w:rsidRPr="00EA7DC2">
        <w:rPr>
          <w:i/>
        </w:rPr>
        <w:t>fritschii</w:t>
      </w:r>
      <w:proofErr w:type="spellEnd"/>
      <w:r w:rsidR="008E70BF" w:rsidRPr="008E70BF">
        <w:t>, where they found that the impact of exposure to UVB radiation and red light on MAA biosynthesis was greater compared to white light. Based on these results, a factorial regression "MAA</w:t>
      </w:r>
      <w:r w:rsidR="000E5563">
        <w:t>s</w:t>
      </w:r>
      <w:r w:rsidR="008E70BF" w:rsidRPr="008E70BF">
        <w:t xml:space="preserve"> concentration versus extraction solvent; desiccant" was applied</w:t>
      </w:r>
      <w:r w:rsidR="00EA7DC2">
        <w:t xml:space="preserve"> by means of free Minitab 17 ®</w:t>
      </w:r>
      <w:r w:rsidR="008E70BF" w:rsidRPr="008E70BF">
        <w:t>, resulting in a</w:t>
      </w:r>
      <w:r>
        <w:t xml:space="preserve"> </w:t>
      </w:r>
      <w:r w:rsidR="008E70BF" w:rsidRPr="008E70BF">
        <w:t>variance</w:t>
      </w:r>
      <w:r>
        <w:t xml:space="preserve"> analysis</w:t>
      </w:r>
      <w:r w:rsidR="008E70BF" w:rsidRPr="008E70BF">
        <w:t xml:space="preserve"> in which it was found that the solvent</w:t>
      </w:r>
      <w:r>
        <w:t xml:space="preserve"> (effect A)</w:t>
      </w:r>
      <w:r w:rsidR="008E70BF" w:rsidRPr="008E70BF">
        <w:t xml:space="preserve"> and desiccant </w:t>
      </w:r>
      <w:r>
        <w:t xml:space="preserve">(Effect B) </w:t>
      </w:r>
      <w:r w:rsidR="008E70BF" w:rsidRPr="008E70BF">
        <w:t xml:space="preserve">had an effect of -1.15 and -0.68 on </w:t>
      </w:r>
      <w:r w:rsidRPr="008E70BF">
        <w:t>mycosporines</w:t>
      </w:r>
      <w:r w:rsidR="008E70BF" w:rsidRPr="008E70BF">
        <w:t xml:space="preserve"> extraction, respectively. Furthermore, it was found that the effect of both factors is not statistically significant at a significance level of 0.05 because the P-values are </w:t>
      </w:r>
      <w:r>
        <w:t>higher</w:t>
      </w:r>
      <w:r w:rsidR="008E70BF" w:rsidRPr="008E70BF">
        <w:t xml:space="preserve">, being 0.53 for factor A and 0.70 for factor B. </w:t>
      </w:r>
      <w:r>
        <w:t>Finally, t</w:t>
      </w:r>
      <w:r w:rsidR="008E70BF" w:rsidRPr="008E70BF">
        <w:t xml:space="preserve">he concentration of β-carotenoids for </w:t>
      </w:r>
      <w:r>
        <w:t>Culture</w:t>
      </w:r>
      <w:r w:rsidR="008E70BF" w:rsidRPr="008E70BF">
        <w:t xml:space="preserve"> 2 was 0.094 </w:t>
      </w:r>
      <w:proofErr w:type="spellStart"/>
      <w:r w:rsidR="008E70BF" w:rsidRPr="008E70BF">
        <w:t>μg</w:t>
      </w:r>
      <w:proofErr w:type="spellEnd"/>
      <w:r w:rsidR="008E70BF" w:rsidRPr="008E70BF">
        <w:t xml:space="preserve"> mL</w:t>
      </w:r>
      <w:r w:rsidR="008E70BF" w:rsidRPr="00915942">
        <w:rPr>
          <w:vertAlign w:val="superscript"/>
        </w:rPr>
        <w:t>-1</w:t>
      </w:r>
      <w:r>
        <w:t>.</w:t>
      </w:r>
    </w:p>
    <w:p w14:paraId="3F6B02DF" w14:textId="30555CFE" w:rsidR="00915942" w:rsidRDefault="00915942" w:rsidP="00915942">
      <w:pPr>
        <w:pStyle w:val="CETheadingx"/>
      </w:pPr>
      <w:r>
        <w:t>General</w:t>
      </w:r>
      <w:r w:rsidRPr="00915942">
        <w:t xml:space="preserve"> and protective features of the sunscreen</w:t>
      </w:r>
    </w:p>
    <w:p w14:paraId="0D7FEB94" w14:textId="519D9AE2" w:rsidR="00915942" w:rsidRDefault="00915942" w:rsidP="00970157">
      <w:pPr>
        <w:pStyle w:val="CETheadingx"/>
        <w:numPr>
          <w:ilvl w:val="0"/>
          <w:numId w:val="0"/>
        </w:numPr>
        <w:jc w:val="both"/>
        <w:rPr>
          <w:b w:val="0"/>
        </w:rPr>
      </w:pPr>
      <w:r w:rsidRPr="00915942">
        <w:rPr>
          <w:b w:val="0"/>
        </w:rPr>
        <w:t xml:space="preserve">In Figure </w:t>
      </w:r>
      <w:r w:rsidR="000E5563">
        <w:rPr>
          <w:b w:val="0"/>
        </w:rPr>
        <w:t>1</w:t>
      </w:r>
      <w:r>
        <w:rPr>
          <w:b w:val="0"/>
        </w:rPr>
        <w:t xml:space="preserve"> the final product </w:t>
      </w:r>
      <w:r w:rsidR="000E5563">
        <w:rPr>
          <w:b w:val="0"/>
        </w:rPr>
        <w:t>is shown</w:t>
      </w:r>
      <w:r w:rsidR="000E5563">
        <w:rPr>
          <w:b w:val="0"/>
        </w:rPr>
        <w:t>. However, the formulation included</w:t>
      </w:r>
      <w:r w:rsidR="005A5105">
        <w:rPr>
          <w:b w:val="0"/>
        </w:rPr>
        <w:t xml:space="preserve"> </w:t>
      </w:r>
      <w:r w:rsidR="000E5563">
        <w:rPr>
          <w:b w:val="0"/>
        </w:rPr>
        <w:t xml:space="preserve">all </w:t>
      </w:r>
      <w:r w:rsidR="005A5105">
        <w:rPr>
          <w:b w:val="0"/>
        </w:rPr>
        <w:t>the separated biomass of</w:t>
      </w:r>
      <w:r>
        <w:rPr>
          <w:b w:val="0"/>
        </w:rPr>
        <w:t xml:space="preserve"> </w:t>
      </w:r>
      <w:r w:rsidRPr="00915942">
        <w:rPr>
          <w:b w:val="0"/>
          <w:i/>
        </w:rPr>
        <w:t>Chlorella vulgaris</w:t>
      </w:r>
      <w:r>
        <w:rPr>
          <w:b w:val="0"/>
        </w:rPr>
        <w:t xml:space="preserve"> </w:t>
      </w:r>
      <w:r w:rsidR="000E5563">
        <w:rPr>
          <w:b w:val="0"/>
        </w:rPr>
        <w:t>instead of only the metabolites</w:t>
      </w:r>
      <w:r w:rsidR="00970157">
        <w:rPr>
          <w:b w:val="0"/>
        </w:rPr>
        <w:t xml:space="preserve">. </w:t>
      </w:r>
      <w:r w:rsidR="000E5563">
        <w:rPr>
          <w:b w:val="0"/>
        </w:rPr>
        <w:t>From the picture, i</w:t>
      </w:r>
      <w:r w:rsidR="00970157">
        <w:rPr>
          <w:b w:val="0"/>
        </w:rPr>
        <w:t>t is evident its green color and viscous appearance. Besides, its</w:t>
      </w:r>
      <w:r w:rsidR="00970157" w:rsidRPr="00970157">
        <w:rPr>
          <w:b w:val="0"/>
        </w:rPr>
        <w:t xml:space="preserve"> consistency was creamy-gel, smooth to the touch, and had a light and fluid texture, facilitating its application. Additionally, it was free from lumps and particles, indicating that the compounds used in the formulation exhibited compatibility with each other, ensuring skin safety when applied</w:t>
      </w:r>
      <w:r w:rsidR="000E5563">
        <w:rPr>
          <w:b w:val="0"/>
        </w:rPr>
        <w:t>.</w:t>
      </w:r>
    </w:p>
    <w:p w14:paraId="13F745D3" w14:textId="28572E4B" w:rsidR="00915942" w:rsidRDefault="00915942" w:rsidP="00915942">
      <w:pPr>
        <w:pStyle w:val="CETBodytext"/>
      </w:pPr>
      <w:r w:rsidRPr="0097696B">
        <w:rPr>
          <w:rFonts w:ascii="Calibri Light" w:hAnsi="Calibri Light" w:cs="Calibri Light"/>
          <w:b/>
          <w:noProof/>
          <w:color w:val="000000"/>
        </w:rPr>
        <w:drawing>
          <wp:inline distT="0" distB="0" distL="0" distR="0" wp14:anchorId="46B26089" wp14:editId="662E0614">
            <wp:extent cx="1722790" cy="1860957"/>
            <wp:effectExtent l="19050" t="19050" r="10795" b="25400"/>
            <wp:docPr id="8696044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604434" name=""/>
                    <pic:cNvPicPr/>
                  </pic:nvPicPr>
                  <pic:blipFill>
                    <a:blip r:embed="rId10">
                      <a:extLst>
                        <a:ext uri="{28A0092B-C50C-407E-A947-70E740481C1C}">
                          <a14:useLocalDpi xmlns:a14="http://schemas.microsoft.com/office/drawing/2010/main" val="0"/>
                        </a:ext>
                      </a:extLst>
                    </a:blip>
                    <a:stretch>
                      <a:fillRect/>
                    </a:stretch>
                  </pic:blipFill>
                  <pic:spPr>
                    <a:xfrm>
                      <a:off x="0" y="0"/>
                      <a:ext cx="1765319" cy="1906897"/>
                    </a:xfrm>
                    <a:prstGeom prst="rect">
                      <a:avLst/>
                    </a:prstGeom>
                    <a:ln>
                      <a:solidFill>
                        <a:schemeClr val="tx1"/>
                      </a:solidFill>
                    </a:ln>
                  </pic:spPr>
                </pic:pic>
              </a:graphicData>
            </a:graphic>
          </wp:inline>
        </w:drawing>
      </w:r>
    </w:p>
    <w:p w14:paraId="3397CBE3" w14:textId="64F4020D" w:rsidR="00915942" w:rsidRDefault="00915942" w:rsidP="00970157">
      <w:pPr>
        <w:pStyle w:val="CETCaption"/>
        <w:spacing w:before="0"/>
        <w:rPr>
          <w:rStyle w:val="CETCaptionCarattere"/>
          <w:i/>
        </w:rPr>
      </w:pPr>
      <w:r w:rsidRPr="00915942">
        <w:rPr>
          <w:rStyle w:val="CETCaptionCarattere"/>
          <w:i/>
        </w:rPr>
        <w:t>Figure 1: Sunscreen produced from the microalgae Chlorella vulgaris on a laboratory scale</w:t>
      </w:r>
    </w:p>
    <w:p w14:paraId="7FFF9971" w14:textId="5272A7EF" w:rsidR="00970157" w:rsidRPr="00915942" w:rsidRDefault="00970157" w:rsidP="00970157">
      <w:pPr>
        <w:pStyle w:val="CETBodytext"/>
        <w:rPr>
          <w:rStyle w:val="CETCaptionCarattere"/>
          <w:i w:val="0"/>
        </w:rPr>
      </w:pPr>
      <w:r>
        <w:rPr>
          <w:rStyle w:val="CETCaptionCarattere"/>
          <w:i w:val="0"/>
        </w:rPr>
        <w:t>Then, pH and sun protection factor,</w:t>
      </w:r>
      <w:r w:rsidRPr="00970157">
        <w:rPr>
          <w:rStyle w:val="CETCaptionCarattere"/>
          <w:i w:val="0"/>
        </w:rPr>
        <w:t xml:space="preserve"> SPF</w:t>
      </w:r>
      <w:r>
        <w:rPr>
          <w:rStyle w:val="CETCaptionCarattere"/>
          <w:i w:val="0"/>
        </w:rPr>
        <w:t>,</w:t>
      </w:r>
      <w:r w:rsidRPr="00970157">
        <w:rPr>
          <w:rStyle w:val="CETCaptionCarattere"/>
          <w:i w:val="0"/>
        </w:rPr>
        <w:t xml:space="preserve"> w</w:t>
      </w:r>
      <w:r>
        <w:rPr>
          <w:rStyle w:val="CETCaptionCarattere"/>
          <w:i w:val="0"/>
        </w:rPr>
        <w:t>ere</w:t>
      </w:r>
      <w:r w:rsidRPr="00970157">
        <w:rPr>
          <w:rStyle w:val="CETCaptionCarattere"/>
          <w:i w:val="0"/>
        </w:rPr>
        <w:t xml:space="preserve"> determined to assess </w:t>
      </w:r>
      <w:r>
        <w:rPr>
          <w:rStyle w:val="CETCaptionCarattere"/>
          <w:i w:val="0"/>
        </w:rPr>
        <w:t xml:space="preserve">security and </w:t>
      </w:r>
      <w:r w:rsidRPr="00970157">
        <w:rPr>
          <w:rStyle w:val="CETCaptionCarattere"/>
          <w:i w:val="0"/>
        </w:rPr>
        <w:t>effectiveness of the sunscreen formulation, obtaining value</w:t>
      </w:r>
      <w:r>
        <w:rPr>
          <w:rStyle w:val="CETCaptionCarattere"/>
          <w:i w:val="0"/>
        </w:rPr>
        <w:t>s</w:t>
      </w:r>
      <w:r w:rsidRPr="00970157">
        <w:rPr>
          <w:rStyle w:val="CETCaptionCarattere"/>
          <w:i w:val="0"/>
        </w:rPr>
        <w:t xml:space="preserve"> of </w:t>
      </w:r>
      <w:r>
        <w:rPr>
          <w:rStyle w:val="CETCaptionCarattere"/>
          <w:i w:val="0"/>
        </w:rPr>
        <w:t xml:space="preserve">6 and </w:t>
      </w:r>
      <w:r w:rsidRPr="00970157">
        <w:rPr>
          <w:rStyle w:val="CETCaptionCarattere"/>
          <w:i w:val="0"/>
        </w:rPr>
        <w:t xml:space="preserve">7.74, </w:t>
      </w:r>
      <w:r>
        <w:rPr>
          <w:rStyle w:val="CETCaptionCarattere"/>
          <w:i w:val="0"/>
        </w:rPr>
        <w:t xml:space="preserve">respectively, </w:t>
      </w:r>
      <w:r w:rsidRPr="00970157">
        <w:rPr>
          <w:rStyle w:val="CETCaptionCarattere"/>
          <w:i w:val="0"/>
        </w:rPr>
        <w:t xml:space="preserve">from which it is considered that the sunscreen </w:t>
      </w:r>
      <w:r>
        <w:rPr>
          <w:rStyle w:val="CETCaptionCarattere"/>
          <w:i w:val="0"/>
        </w:rPr>
        <w:t xml:space="preserve">is secure for skin care and </w:t>
      </w:r>
      <w:r w:rsidRPr="00970157">
        <w:rPr>
          <w:rStyle w:val="CETCaptionCarattere"/>
          <w:i w:val="0"/>
        </w:rPr>
        <w:t>presented a medium level of photoprotection according to the COLIPA standard (Batlle, 2005).</w:t>
      </w:r>
    </w:p>
    <w:p w14:paraId="68D26B83" w14:textId="4C30F6FB" w:rsidR="00600535" w:rsidRPr="00915942" w:rsidRDefault="00600535" w:rsidP="00915942">
      <w:pPr>
        <w:pStyle w:val="CETHeading1"/>
        <w:tabs>
          <w:tab w:val="right" w:pos="7100"/>
        </w:tabs>
        <w:jc w:val="both"/>
        <w:rPr>
          <w:lang w:val="en-GB"/>
        </w:rPr>
      </w:pPr>
      <w:r w:rsidRPr="00915942">
        <w:rPr>
          <w:lang w:val="en-GB"/>
        </w:rPr>
        <w:t>Conclusions</w:t>
      </w:r>
    </w:p>
    <w:p w14:paraId="18F2E609" w14:textId="432590C7" w:rsidR="00915942" w:rsidRDefault="00970157" w:rsidP="00970157">
      <w:pPr>
        <w:pStyle w:val="CETBodytext"/>
      </w:pPr>
      <w:r w:rsidRPr="00970157">
        <w:t>n the cultivation with white LED light supply, the cellular concentration was higher with a value of 1.77 absorbance units, while in the cultivation under red LED light, it was 1.28 absorbance units. Similarly, the cultivation with white LED light showed the highest growth rate, dry weight, and productivity</w:t>
      </w:r>
      <w:r>
        <w:t>.</w:t>
      </w:r>
      <w:r w:rsidRPr="00970157">
        <w:t xml:space="preserve"> It was evident that the intensity and type of light had a significant effect on mycosporines production, resulting in a higher concentration in the cultivation with red LED light, with a value of 6.61 </w:t>
      </w:r>
      <w:proofErr w:type="spellStart"/>
      <w:r w:rsidRPr="00970157">
        <w:t>μg</w:t>
      </w:r>
      <w:proofErr w:type="spellEnd"/>
      <w:r w:rsidRPr="00970157">
        <w:t xml:space="preserve"> g</w:t>
      </w:r>
      <w:r w:rsidRPr="00970157">
        <w:rPr>
          <w:vertAlign w:val="superscript"/>
        </w:rPr>
        <w:t>-1</w:t>
      </w:r>
      <w:r w:rsidRPr="00970157">
        <w:t xml:space="preserve">, while for the cultivation with white LED light, it was 3.38 </w:t>
      </w:r>
      <w:proofErr w:type="spellStart"/>
      <w:r w:rsidRPr="00970157">
        <w:t>μg</w:t>
      </w:r>
      <w:proofErr w:type="spellEnd"/>
      <w:r w:rsidRPr="00970157">
        <w:t xml:space="preserve"> g</w:t>
      </w:r>
      <w:r w:rsidRPr="00970157">
        <w:rPr>
          <w:vertAlign w:val="superscript"/>
        </w:rPr>
        <w:t>-1</w:t>
      </w:r>
      <w:r w:rsidRPr="00970157">
        <w:t>.</w:t>
      </w:r>
      <w:r w:rsidR="005A5105">
        <w:t xml:space="preserve"> As a possible strategy to increase mycosporines production, microalgae</w:t>
      </w:r>
      <w:r w:rsidRPr="00970157">
        <w:t xml:space="preserve"> </w:t>
      </w:r>
      <w:r w:rsidR="005A5105">
        <w:t xml:space="preserve">growth should be made with red light LED until stationary phase, and then red-light LED should be used. </w:t>
      </w:r>
      <w:r w:rsidRPr="00970157">
        <w:t xml:space="preserve">In the sunscreen, the dry biomass of </w:t>
      </w:r>
      <w:r w:rsidRPr="00970157">
        <w:rPr>
          <w:i/>
        </w:rPr>
        <w:t>Chlorella vulgaris</w:t>
      </w:r>
      <w:r w:rsidRPr="00970157">
        <w:t xml:space="preserve"> was used as a new UV filter, resulting in a product with a pH </w:t>
      </w:r>
      <w:r w:rsidRPr="00970157">
        <w:lastRenderedPageBreak/>
        <w:t xml:space="preserve">of 6, a characteristic green color of the microalga, a creamy-gel consistency, and a light and fluid texture. The SPF of the sunscreen was 7.74, classifying it as a medium protection photoprotector. The results obtained in this work demonstrate the potential of </w:t>
      </w:r>
      <w:r w:rsidRPr="005A5105">
        <w:rPr>
          <w:i/>
          <w:iCs/>
        </w:rPr>
        <w:t>Chlorella</w:t>
      </w:r>
      <w:r w:rsidRPr="00970157">
        <w:t xml:space="preserve"> </w:t>
      </w:r>
      <w:r w:rsidRPr="005A5105">
        <w:rPr>
          <w:i/>
          <w:iCs/>
        </w:rPr>
        <w:t>vulgaris</w:t>
      </w:r>
      <w:r w:rsidRPr="00970157">
        <w:t xml:space="preserve"> to be used in the production of biological </w:t>
      </w:r>
      <w:r w:rsidR="000E5563" w:rsidRPr="00970157">
        <w:t>sunscreens.</w:t>
      </w:r>
    </w:p>
    <w:p w14:paraId="459D05E6" w14:textId="36E6AF42" w:rsidR="00600535" w:rsidRDefault="00600535" w:rsidP="00600535">
      <w:pPr>
        <w:pStyle w:val="CETAcknowledgementstitle"/>
      </w:pPr>
      <w:r w:rsidRPr="00B57B36">
        <w:t>Acknowledgments</w:t>
      </w:r>
    </w:p>
    <w:p w14:paraId="088A510F" w14:textId="77777777" w:rsidR="00A7312D" w:rsidRDefault="00E36039" w:rsidP="00E36039">
      <w:pPr>
        <w:pStyle w:val="CETBodytext"/>
        <w:rPr>
          <w:lang w:val="en-GB"/>
        </w:rPr>
      </w:pPr>
      <w:r w:rsidRPr="00E36039">
        <w:rPr>
          <w:lang w:val="en-GB"/>
        </w:rPr>
        <w:t xml:space="preserve">This work was (partially) supported by </w:t>
      </w:r>
      <w:proofErr w:type="spellStart"/>
      <w:r w:rsidRPr="00E36039">
        <w:rPr>
          <w:lang w:val="en-GB"/>
        </w:rPr>
        <w:t>Programa</w:t>
      </w:r>
      <w:proofErr w:type="spellEnd"/>
      <w:r w:rsidRPr="00E36039">
        <w:rPr>
          <w:lang w:val="en-GB"/>
        </w:rPr>
        <w:t xml:space="preserve"> </w:t>
      </w:r>
      <w:proofErr w:type="spellStart"/>
      <w:r w:rsidRPr="00E36039">
        <w:rPr>
          <w:lang w:val="en-GB"/>
        </w:rPr>
        <w:t>Iberoamericano</w:t>
      </w:r>
      <w:proofErr w:type="spellEnd"/>
      <w:r w:rsidRPr="00E36039">
        <w:rPr>
          <w:lang w:val="en-GB"/>
        </w:rPr>
        <w:t xml:space="preserve"> de </w:t>
      </w:r>
      <w:proofErr w:type="spellStart"/>
      <w:r w:rsidRPr="00E36039">
        <w:rPr>
          <w:lang w:val="en-GB"/>
        </w:rPr>
        <w:t>Ciencia</w:t>
      </w:r>
      <w:proofErr w:type="spellEnd"/>
      <w:r w:rsidRPr="00E36039">
        <w:rPr>
          <w:lang w:val="en-GB"/>
        </w:rPr>
        <w:t xml:space="preserve"> y</w:t>
      </w:r>
      <w:r>
        <w:rPr>
          <w:lang w:val="en-GB"/>
        </w:rPr>
        <w:t xml:space="preserve"> </w:t>
      </w:r>
      <w:proofErr w:type="spellStart"/>
      <w:r w:rsidRPr="00E36039">
        <w:rPr>
          <w:lang w:val="en-GB"/>
        </w:rPr>
        <w:t>Tecnología</w:t>
      </w:r>
      <w:proofErr w:type="spellEnd"/>
      <w:r w:rsidRPr="00E36039">
        <w:rPr>
          <w:lang w:val="en-GB"/>
        </w:rPr>
        <w:t xml:space="preserve"> para </w:t>
      </w:r>
      <w:proofErr w:type="spellStart"/>
      <w:r w:rsidRPr="00E36039">
        <w:rPr>
          <w:lang w:val="en-GB"/>
        </w:rPr>
        <w:t>el</w:t>
      </w:r>
      <w:proofErr w:type="spellEnd"/>
      <w:r w:rsidRPr="00E36039">
        <w:rPr>
          <w:lang w:val="en-GB"/>
        </w:rPr>
        <w:t xml:space="preserve"> Desarrollo (CYTED) (through RED RENUWAL 320rt0005).</w:t>
      </w:r>
      <w:r w:rsidR="00A7312D">
        <w:rPr>
          <w:lang w:val="en-GB"/>
        </w:rPr>
        <w:t xml:space="preserve"> </w:t>
      </w:r>
    </w:p>
    <w:p w14:paraId="4ADE4414" w14:textId="3DFF5656" w:rsidR="00E36039" w:rsidRPr="00E36039" w:rsidRDefault="00A7312D" w:rsidP="00E36039">
      <w:pPr>
        <w:pStyle w:val="CETBodytext"/>
        <w:rPr>
          <w:lang w:val="en-GB"/>
        </w:rPr>
      </w:pPr>
      <w:r>
        <w:rPr>
          <w:lang w:val="en-GB"/>
        </w:rPr>
        <w:t xml:space="preserve">Universidad de America has also helped to the experimental work of this project. </w:t>
      </w:r>
    </w:p>
    <w:p w14:paraId="4F1327F8" w14:textId="77777777" w:rsidR="00600535" w:rsidRPr="00B57B36" w:rsidRDefault="00600535" w:rsidP="00600535">
      <w:pPr>
        <w:pStyle w:val="CETReference"/>
      </w:pPr>
      <w:r w:rsidRPr="00B57B36">
        <w:t>References</w:t>
      </w:r>
    </w:p>
    <w:p w14:paraId="6C560874" w14:textId="0958ECF3" w:rsidR="005A5105" w:rsidRPr="00DD73A3" w:rsidRDefault="005A5105" w:rsidP="005A5105">
      <w:pPr>
        <w:pStyle w:val="CETReferencetext"/>
        <w:rPr>
          <w:lang w:val="en-US"/>
        </w:rPr>
      </w:pPr>
      <w:r w:rsidRPr="005A5105">
        <w:t xml:space="preserve">Alli, S., LeBeau, J., Hasbani, A., </w:t>
      </w:r>
      <w:proofErr w:type="spellStart"/>
      <w:r w:rsidRPr="005A5105">
        <w:t>Lagacé</w:t>
      </w:r>
      <w:proofErr w:type="spellEnd"/>
      <w:r w:rsidRPr="005A5105">
        <w:t>, F., Litvinov, I. V., &amp; Peláez, S.</w:t>
      </w:r>
      <w:r w:rsidR="00DD73A3">
        <w:t>,</w:t>
      </w:r>
      <w:r w:rsidRPr="005A5105">
        <w:t xml:space="preserve"> 2023</w:t>
      </w:r>
      <w:r w:rsidR="00DD73A3">
        <w:t>,</w:t>
      </w:r>
      <w:r w:rsidRPr="005A5105">
        <w:t xml:space="preserve"> Understanding the Perceived Relationship between Sun Exposure and Melanoma in Atlantic Canada: A Consensual Qualitative Study Highlighting a “Sunscreen Paradox”</w:t>
      </w:r>
      <w:r w:rsidR="00DD73A3">
        <w:t>,</w:t>
      </w:r>
      <w:r w:rsidRPr="005A5105">
        <w:t xml:space="preserve"> </w:t>
      </w:r>
      <w:r w:rsidRPr="00DD73A3">
        <w:rPr>
          <w:lang w:val="en-US"/>
        </w:rPr>
        <w:t xml:space="preserve">Cancers, 15, 4726. </w:t>
      </w:r>
    </w:p>
    <w:p w14:paraId="63049058" w14:textId="2C59430D" w:rsidR="00E36039" w:rsidRDefault="00E36039" w:rsidP="00E36039">
      <w:pPr>
        <w:pStyle w:val="CETReferencetext"/>
      </w:pPr>
      <w:r>
        <w:t>Amador-Castro, F., Rodriguez-Martinez, V., &amp; Carrillo-Nieves, D.</w:t>
      </w:r>
      <w:r w:rsidR="00DD73A3">
        <w:t xml:space="preserve">, </w:t>
      </w:r>
      <w:r>
        <w:t>2020</w:t>
      </w:r>
      <w:r w:rsidR="00DD73A3">
        <w:t>,</w:t>
      </w:r>
      <w:r>
        <w:t xml:space="preserve"> Robust natural ultraviolet filters from marine ecosystems for the formulation of environmental friendlier bio-sunscreens</w:t>
      </w:r>
      <w:r w:rsidR="00DD73A3">
        <w:t>,</w:t>
      </w:r>
      <w:r>
        <w:t xml:space="preserve"> The Science of the Total Environment, 749</w:t>
      </w:r>
      <w:r w:rsidR="00DD73A3">
        <w:t>,</w:t>
      </w:r>
      <w:r>
        <w:t xml:space="preserve"> 2-11. </w:t>
      </w:r>
    </w:p>
    <w:p w14:paraId="41226400" w14:textId="7078A68D" w:rsidR="00E36039" w:rsidRDefault="00E36039" w:rsidP="00E36039">
      <w:pPr>
        <w:pStyle w:val="CETReferencetext"/>
      </w:pPr>
      <w:proofErr w:type="spellStart"/>
      <w:r>
        <w:t>Ariede</w:t>
      </w:r>
      <w:proofErr w:type="spellEnd"/>
      <w:r>
        <w:t>, M. B., Candido, T. M., Jacome, A. L. M., Velasco, M. V. R., de Carvalho, J. C. M., &amp; Baby, A. R.</w:t>
      </w:r>
      <w:r w:rsidR="00DD73A3">
        <w:t xml:space="preserve">, </w:t>
      </w:r>
      <w:r>
        <w:t>2017</w:t>
      </w:r>
      <w:r w:rsidR="00DD73A3">
        <w:t>,</w:t>
      </w:r>
      <w:r>
        <w:t xml:space="preserve"> Cosmetic attributes of algae - A review</w:t>
      </w:r>
      <w:r w:rsidR="00DD73A3">
        <w:t>,</w:t>
      </w:r>
      <w:r>
        <w:t xml:space="preserve"> Algal Research, 25, 483-487. </w:t>
      </w:r>
    </w:p>
    <w:p w14:paraId="5F631A48" w14:textId="5B10FF03" w:rsidR="00E36039" w:rsidRDefault="00E36039" w:rsidP="00E36039">
      <w:pPr>
        <w:pStyle w:val="CETReferencetext"/>
        <w:rPr>
          <w:lang w:val="es-CO"/>
        </w:rPr>
      </w:pPr>
      <w:r w:rsidRPr="00DD73A3">
        <w:rPr>
          <w:lang w:val="es-CO"/>
        </w:rPr>
        <w:t xml:space="preserve">Arredondo, B., &amp; </w:t>
      </w:r>
      <w:proofErr w:type="spellStart"/>
      <w:r w:rsidRPr="00DD73A3">
        <w:rPr>
          <w:lang w:val="es-CO"/>
        </w:rPr>
        <w:t>Voltolina</w:t>
      </w:r>
      <w:proofErr w:type="spellEnd"/>
      <w:r w:rsidRPr="00DD73A3">
        <w:rPr>
          <w:lang w:val="es-CO"/>
        </w:rPr>
        <w:t>, D.</w:t>
      </w:r>
      <w:r w:rsidR="00DD73A3" w:rsidRPr="00DD73A3">
        <w:rPr>
          <w:lang w:val="es-CO"/>
        </w:rPr>
        <w:t xml:space="preserve">, </w:t>
      </w:r>
      <w:r w:rsidRPr="00DD73A3">
        <w:rPr>
          <w:lang w:val="es-CO"/>
        </w:rPr>
        <w:t>2007</w:t>
      </w:r>
      <w:r w:rsidR="00DD73A3" w:rsidRPr="00DD73A3">
        <w:rPr>
          <w:lang w:val="es-CO"/>
        </w:rPr>
        <w:t>,</w:t>
      </w:r>
      <w:r w:rsidRPr="00DD73A3">
        <w:rPr>
          <w:lang w:val="es-CO"/>
        </w:rPr>
        <w:t xml:space="preserve"> </w:t>
      </w:r>
      <w:r w:rsidRPr="005A5105">
        <w:rPr>
          <w:lang w:val="es-CO"/>
        </w:rPr>
        <w:t xml:space="preserve">Métodos y herramientas analíticas en la evaluación de la biomasa </w:t>
      </w:r>
      <w:proofErr w:type="spellStart"/>
      <w:r w:rsidRPr="005A5105">
        <w:rPr>
          <w:lang w:val="es-CO"/>
        </w:rPr>
        <w:t>microalgal</w:t>
      </w:r>
      <w:proofErr w:type="spellEnd"/>
      <w:r w:rsidR="00DD73A3">
        <w:rPr>
          <w:lang w:val="es-CO"/>
        </w:rPr>
        <w:t>,</w:t>
      </w:r>
      <w:r w:rsidRPr="005A5105">
        <w:rPr>
          <w:lang w:val="es-CO"/>
        </w:rPr>
        <w:t xml:space="preserve"> CIBNOR. </w:t>
      </w:r>
    </w:p>
    <w:p w14:paraId="32C76225" w14:textId="39B31752" w:rsidR="005A5105" w:rsidRPr="005A5105" w:rsidRDefault="005A5105" w:rsidP="005A5105">
      <w:pPr>
        <w:pStyle w:val="CETReferencetext"/>
        <w:rPr>
          <w:lang w:val="es-CO"/>
        </w:rPr>
      </w:pPr>
      <w:r w:rsidRPr="005A5105">
        <w:rPr>
          <w:lang w:val="es-CO"/>
        </w:rPr>
        <w:t>Ávila-</w:t>
      </w:r>
      <w:proofErr w:type="spellStart"/>
      <w:r w:rsidRPr="005A5105">
        <w:rPr>
          <w:lang w:val="es-CO"/>
        </w:rPr>
        <w:t>Cújar</w:t>
      </w:r>
      <w:proofErr w:type="spellEnd"/>
      <w:r w:rsidRPr="005A5105">
        <w:rPr>
          <w:lang w:val="es-CO"/>
        </w:rPr>
        <w:t>, L. C., Sotelo-Torres, B. E. y Sandoval-Herrera, J. A.</w:t>
      </w:r>
      <w:r w:rsidR="00DD73A3">
        <w:rPr>
          <w:lang w:val="es-CO"/>
        </w:rPr>
        <w:t>,</w:t>
      </w:r>
      <w:r w:rsidRPr="005A5105">
        <w:rPr>
          <w:lang w:val="es-CO"/>
        </w:rPr>
        <w:t xml:space="preserve"> 2021</w:t>
      </w:r>
      <w:r w:rsidR="00DD73A3">
        <w:rPr>
          <w:lang w:val="es-CO"/>
        </w:rPr>
        <w:t>,</w:t>
      </w:r>
      <w:r w:rsidRPr="005A5105">
        <w:rPr>
          <w:lang w:val="es-CO"/>
        </w:rPr>
        <w:t xml:space="preserve"> Selección y comparación de las principales tecnologías para la remoción de compuestos farmacológicamente activos: una revisión</w:t>
      </w:r>
      <w:r w:rsidR="00DD73A3">
        <w:rPr>
          <w:lang w:val="es-CO"/>
        </w:rPr>
        <w:t>,</w:t>
      </w:r>
      <w:r w:rsidRPr="005A5105">
        <w:rPr>
          <w:lang w:val="es-CO"/>
        </w:rPr>
        <w:t xml:space="preserve"> Gestión y Ambiente, 24, 59–72. </w:t>
      </w:r>
    </w:p>
    <w:p w14:paraId="77F42487" w14:textId="23CF8DBB" w:rsidR="00E36039" w:rsidRPr="00DD73A3" w:rsidRDefault="00E36039" w:rsidP="00E36039">
      <w:pPr>
        <w:pStyle w:val="CETReferencetext"/>
        <w:rPr>
          <w:lang w:val="en-US"/>
        </w:rPr>
      </w:pPr>
      <w:r w:rsidRPr="005A5105">
        <w:rPr>
          <w:lang w:val="es-CO"/>
        </w:rPr>
        <w:t>Batlle, C.</w:t>
      </w:r>
      <w:r w:rsidR="00DD73A3">
        <w:rPr>
          <w:lang w:val="es-CO"/>
        </w:rPr>
        <w:t xml:space="preserve">, </w:t>
      </w:r>
      <w:r w:rsidRPr="005A5105">
        <w:rPr>
          <w:lang w:val="es-CO"/>
        </w:rPr>
        <w:t>2005</w:t>
      </w:r>
      <w:r w:rsidR="00DD73A3">
        <w:rPr>
          <w:lang w:val="es-CO"/>
        </w:rPr>
        <w:t>, F</w:t>
      </w:r>
      <w:r w:rsidRPr="005A5105">
        <w:rPr>
          <w:lang w:val="es-CO"/>
        </w:rPr>
        <w:t>actor de protección solar</w:t>
      </w:r>
      <w:r w:rsidR="00DD73A3">
        <w:rPr>
          <w:lang w:val="es-CO"/>
        </w:rPr>
        <w:t>.</w:t>
      </w:r>
      <w:r w:rsidRPr="005A5105">
        <w:rPr>
          <w:lang w:val="es-CO"/>
        </w:rPr>
        <w:t xml:space="preserve"> </w:t>
      </w:r>
      <w:r w:rsidRPr="00DD73A3">
        <w:rPr>
          <w:lang w:val="en-US"/>
        </w:rPr>
        <w:t xml:space="preserve">24, 65-72. </w:t>
      </w:r>
    </w:p>
    <w:p w14:paraId="6C2A5038" w14:textId="66A9B073" w:rsidR="00E36039" w:rsidRPr="00DD73A3" w:rsidRDefault="00E36039" w:rsidP="00E36039">
      <w:pPr>
        <w:pStyle w:val="CETReferencetext"/>
        <w:rPr>
          <w:lang w:val="en-US"/>
        </w:rPr>
      </w:pPr>
      <w:proofErr w:type="spellStart"/>
      <w:r w:rsidRPr="00DD73A3">
        <w:rPr>
          <w:lang w:val="en-US"/>
        </w:rPr>
        <w:t>Bertoloni</w:t>
      </w:r>
      <w:proofErr w:type="spellEnd"/>
      <w:r w:rsidRPr="00DD73A3">
        <w:rPr>
          <w:lang w:val="en-US"/>
        </w:rPr>
        <w:t>, B.</w:t>
      </w:r>
      <w:r w:rsidR="00DD73A3" w:rsidRPr="00DD73A3">
        <w:rPr>
          <w:lang w:val="en-US"/>
        </w:rPr>
        <w:t xml:space="preserve">, </w:t>
      </w:r>
      <w:r w:rsidRPr="00DD73A3">
        <w:rPr>
          <w:lang w:val="en-US"/>
        </w:rPr>
        <w:t>2022</w:t>
      </w:r>
      <w:r w:rsidR="00DD73A3" w:rsidRPr="00DD73A3">
        <w:rPr>
          <w:lang w:val="en-US"/>
        </w:rPr>
        <w:t>,</w:t>
      </w:r>
      <w:r w:rsidRPr="00DD73A3">
        <w:rPr>
          <w:lang w:val="en-US"/>
        </w:rPr>
        <w:t xml:space="preserve"> In vitro photoprotective attributes from the Chlorella vulgaris cultivated in photobioreactor.</w:t>
      </w:r>
    </w:p>
    <w:p w14:paraId="7422A8FD" w14:textId="680DAB66" w:rsidR="00E36039" w:rsidRDefault="00E36039" w:rsidP="00E36039">
      <w:pPr>
        <w:pStyle w:val="CETReferencetext"/>
        <w:rPr>
          <w:lang w:val="es-CO"/>
        </w:rPr>
      </w:pPr>
      <w:proofErr w:type="spellStart"/>
      <w:r w:rsidRPr="005A5105">
        <w:rPr>
          <w:lang w:val="es-CO"/>
        </w:rPr>
        <w:t>Chois</w:t>
      </w:r>
      <w:proofErr w:type="spellEnd"/>
      <w:r w:rsidRPr="005A5105">
        <w:rPr>
          <w:lang w:val="es-CO"/>
        </w:rPr>
        <w:t>, F.</w:t>
      </w:r>
      <w:r w:rsidR="00DD73A3">
        <w:rPr>
          <w:lang w:val="es-CO"/>
        </w:rPr>
        <w:t>,</w:t>
      </w:r>
      <w:r w:rsidRPr="005A5105">
        <w:rPr>
          <w:lang w:val="es-CO"/>
        </w:rPr>
        <w:t xml:space="preserve"> 2014</w:t>
      </w:r>
      <w:r w:rsidR="00DD73A3">
        <w:rPr>
          <w:lang w:val="es-CO"/>
        </w:rPr>
        <w:t>,</w:t>
      </w:r>
      <w:r w:rsidRPr="005A5105">
        <w:rPr>
          <w:lang w:val="es-CO"/>
        </w:rPr>
        <w:t xml:space="preserve"> Evaluación de la acumulación de carbohidratos en la microalga </w:t>
      </w:r>
      <w:proofErr w:type="spellStart"/>
      <w:r w:rsidRPr="005A5105">
        <w:rPr>
          <w:lang w:val="es-CO"/>
        </w:rPr>
        <w:t>Chlorella</w:t>
      </w:r>
      <w:proofErr w:type="spellEnd"/>
      <w:r w:rsidRPr="005A5105">
        <w:rPr>
          <w:lang w:val="es-CO"/>
        </w:rPr>
        <w:t xml:space="preserve"> </w:t>
      </w:r>
      <w:proofErr w:type="spellStart"/>
      <w:r w:rsidRPr="005A5105">
        <w:rPr>
          <w:lang w:val="es-CO"/>
        </w:rPr>
        <w:t>spp</w:t>
      </w:r>
      <w:proofErr w:type="spellEnd"/>
      <w:r w:rsidR="00DD73A3">
        <w:rPr>
          <w:lang w:val="es-CO"/>
        </w:rPr>
        <w:t xml:space="preserve">, </w:t>
      </w:r>
      <w:r w:rsidRPr="005A5105">
        <w:rPr>
          <w:lang w:val="es-CO"/>
        </w:rPr>
        <w:t xml:space="preserve">Asociada con la bacteria </w:t>
      </w:r>
      <w:proofErr w:type="spellStart"/>
      <w:r w:rsidRPr="005A5105">
        <w:rPr>
          <w:lang w:val="es-CO"/>
        </w:rPr>
        <w:t>Azospirillum</w:t>
      </w:r>
      <w:proofErr w:type="spellEnd"/>
      <w:r w:rsidRPr="005A5105">
        <w:rPr>
          <w:lang w:val="es-CO"/>
        </w:rPr>
        <w:t xml:space="preserve"> </w:t>
      </w:r>
      <w:proofErr w:type="spellStart"/>
      <w:r w:rsidRPr="005A5105">
        <w:rPr>
          <w:lang w:val="es-CO"/>
        </w:rPr>
        <w:t>brasilense</w:t>
      </w:r>
      <w:proofErr w:type="spellEnd"/>
      <w:r w:rsidRPr="005A5105">
        <w:rPr>
          <w:lang w:val="es-CO"/>
        </w:rPr>
        <w:t>.</w:t>
      </w:r>
    </w:p>
    <w:p w14:paraId="5C17AC18" w14:textId="597C0863" w:rsidR="005A5105" w:rsidRDefault="005A5105" w:rsidP="005A5105">
      <w:pPr>
        <w:pStyle w:val="CETReferencetext"/>
        <w:rPr>
          <w:lang w:val="es-CO"/>
        </w:rPr>
      </w:pPr>
      <w:proofErr w:type="spellStart"/>
      <w:r w:rsidRPr="005A5105">
        <w:rPr>
          <w:lang w:val="es-CO"/>
        </w:rPr>
        <w:t>Couselo</w:t>
      </w:r>
      <w:proofErr w:type="spellEnd"/>
      <w:r w:rsidRPr="005A5105">
        <w:rPr>
          <w:lang w:val="es-CO"/>
        </w:rPr>
        <w:t>-Rodríguez, C., González-Esteban, P. C., Montes, M. D., &amp; Flórez, Á.</w:t>
      </w:r>
      <w:r w:rsidR="00DD73A3">
        <w:rPr>
          <w:lang w:val="es-CO"/>
        </w:rPr>
        <w:t>,</w:t>
      </w:r>
      <w:r w:rsidRPr="005A5105">
        <w:rPr>
          <w:lang w:val="es-CO"/>
        </w:rPr>
        <w:t xml:space="preserve"> 2022</w:t>
      </w:r>
      <w:r w:rsidR="00DD73A3">
        <w:rPr>
          <w:lang w:val="es-CO"/>
        </w:rPr>
        <w:t>,</w:t>
      </w:r>
      <w:r w:rsidRPr="005A5105">
        <w:rPr>
          <w:lang w:val="es-CO"/>
        </w:rPr>
        <w:t xml:space="preserve"> Impacto de los filtros ultravioleta en el entorno natural</w:t>
      </w:r>
      <w:r w:rsidR="00DD73A3">
        <w:rPr>
          <w:lang w:val="es-CO"/>
        </w:rPr>
        <w:t xml:space="preserve">, </w:t>
      </w:r>
      <w:r w:rsidRPr="005A5105">
        <w:rPr>
          <w:lang w:val="es-CO"/>
        </w:rPr>
        <w:t xml:space="preserve">Actas </w:t>
      </w:r>
      <w:proofErr w:type="spellStart"/>
      <w:r w:rsidRPr="005A5105">
        <w:rPr>
          <w:lang w:val="es-CO"/>
        </w:rPr>
        <w:t>Dermo-Sifiliográficas</w:t>
      </w:r>
      <w:proofErr w:type="spellEnd"/>
      <w:r w:rsidRPr="005A5105">
        <w:rPr>
          <w:lang w:val="es-CO"/>
        </w:rPr>
        <w:t xml:space="preserve">, 113, 792-803. </w:t>
      </w:r>
    </w:p>
    <w:p w14:paraId="70B9F256" w14:textId="284056E7" w:rsidR="00E36039" w:rsidRPr="005A5105" w:rsidRDefault="00E36039" w:rsidP="00E36039">
      <w:pPr>
        <w:pStyle w:val="CETReferencetext"/>
        <w:rPr>
          <w:lang w:val="es-CO"/>
        </w:rPr>
      </w:pPr>
      <w:r w:rsidRPr="005A5105">
        <w:rPr>
          <w:lang w:val="es-CO"/>
        </w:rPr>
        <w:t>Crespo, C.</w:t>
      </w:r>
      <w:r w:rsidR="00DD73A3">
        <w:rPr>
          <w:lang w:val="es-CO"/>
        </w:rPr>
        <w:t xml:space="preserve">, </w:t>
      </w:r>
      <w:r w:rsidRPr="005A5105">
        <w:rPr>
          <w:lang w:val="es-CO"/>
        </w:rPr>
        <w:t>2022</w:t>
      </w:r>
      <w:r w:rsidR="00DD73A3">
        <w:rPr>
          <w:lang w:val="es-CO"/>
        </w:rPr>
        <w:t>,</w:t>
      </w:r>
      <w:r w:rsidRPr="005A5105">
        <w:rPr>
          <w:lang w:val="es-CO"/>
        </w:rPr>
        <w:t xml:space="preserve"> ¿Qué impacto tienen los protectores solares en los ecosistemas?</w:t>
      </w:r>
    </w:p>
    <w:p w14:paraId="2892B3F8" w14:textId="3E885D12" w:rsidR="00E36039" w:rsidRPr="005A5105" w:rsidRDefault="00E36039" w:rsidP="00E36039">
      <w:pPr>
        <w:pStyle w:val="CETReferencetext"/>
        <w:rPr>
          <w:lang w:val="es-CO"/>
        </w:rPr>
      </w:pPr>
      <w:proofErr w:type="spellStart"/>
      <w:r w:rsidRPr="005A5105">
        <w:rPr>
          <w:lang w:val="es-CO"/>
        </w:rPr>
        <w:t>Geraldin</w:t>
      </w:r>
      <w:proofErr w:type="spellEnd"/>
      <w:r w:rsidRPr="005A5105">
        <w:rPr>
          <w:lang w:val="es-CO"/>
        </w:rPr>
        <w:t>, I., Ruiz, M., Juliana, R., &amp; Piñeros, C.</w:t>
      </w:r>
      <w:r w:rsidR="00A7312D">
        <w:rPr>
          <w:lang w:val="es-CO"/>
        </w:rPr>
        <w:t xml:space="preserve">, </w:t>
      </w:r>
      <w:r w:rsidRPr="005A5105">
        <w:rPr>
          <w:lang w:val="es-CO"/>
        </w:rPr>
        <w:t>2019</w:t>
      </w:r>
      <w:r w:rsidR="00A7312D">
        <w:rPr>
          <w:lang w:val="es-CO"/>
        </w:rPr>
        <w:t>,</w:t>
      </w:r>
      <w:r w:rsidRPr="005A5105">
        <w:rPr>
          <w:lang w:val="es-CO"/>
        </w:rPr>
        <w:t xml:space="preserve"> Evaluación de carotenoides y lípidos en la microalga </w:t>
      </w:r>
      <w:proofErr w:type="spellStart"/>
      <w:r w:rsidRPr="005A5105">
        <w:rPr>
          <w:lang w:val="es-CO"/>
        </w:rPr>
        <w:t>scenedesmus</w:t>
      </w:r>
      <w:proofErr w:type="spellEnd"/>
      <w:r w:rsidRPr="005A5105">
        <w:rPr>
          <w:lang w:val="es-CO"/>
        </w:rPr>
        <w:t xml:space="preserve"> </w:t>
      </w:r>
      <w:proofErr w:type="spellStart"/>
      <w:r w:rsidRPr="005A5105">
        <w:rPr>
          <w:lang w:val="es-CO"/>
        </w:rPr>
        <w:t>dimorphus</w:t>
      </w:r>
      <w:proofErr w:type="spellEnd"/>
      <w:r w:rsidRPr="005A5105">
        <w:rPr>
          <w:lang w:val="es-CO"/>
        </w:rPr>
        <w:t xml:space="preserve"> a escala laboratorio bajo condiciones de fotobiorreactor.</w:t>
      </w:r>
    </w:p>
    <w:p w14:paraId="0B6E33C8" w14:textId="07625DFB" w:rsidR="00E36039" w:rsidRDefault="00E36039" w:rsidP="00E36039">
      <w:pPr>
        <w:pStyle w:val="CETReferencetext"/>
      </w:pPr>
      <w:r>
        <w:t>Grand View Research</w:t>
      </w:r>
      <w:r w:rsidR="00A7312D">
        <w:t xml:space="preserve">, </w:t>
      </w:r>
      <w:r>
        <w:t>2020</w:t>
      </w:r>
      <w:r w:rsidR="00A7312D">
        <w:t>,</w:t>
      </w:r>
      <w:r>
        <w:t xml:space="preserve"> Cosmetics Market Size, Share &amp; Trends Analysis Report </w:t>
      </w:r>
      <w:proofErr w:type="gramStart"/>
      <w:r>
        <w:t>By</w:t>
      </w:r>
      <w:proofErr w:type="gramEnd"/>
      <w:r>
        <w:t xml:space="preserve"> Product (Skin Care, Hair Care, Makeup, Fragrance), By End-user (Men, Women), By Distribution Channel, By Region, And Segment Forecasts, 2023 - 2030. </w:t>
      </w:r>
    </w:p>
    <w:p w14:paraId="7522324F" w14:textId="68CFF787" w:rsidR="005A5105" w:rsidRDefault="005A5105" w:rsidP="00E36039">
      <w:pPr>
        <w:pStyle w:val="CETReferencetext"/>
      </w:pPr>
      <w:r w:rsidRPr="005A5105">
        <w:t>Hiatt, R. A., &amp; Beyeler, N.</w:t>
      </w:r>
      <w:r w:rsidR="00A7312D">
        <w:t xml:space="preserve">, </w:t>
      </w:r>
      <w:r w:rsidRPr="005A5105">
        <w:t>2020</w:t>
      </w:r>
      <w:r w:rsidR="00A7312D">
        <w:t>,</w:t>
      </w:r>
      <w:r w:rsidRPr="005A5105">
        <w:t xml:space="preserve"> Cancer and climate change</w:t>
      </w:r>
      <w:r w:rsidR="00A7312D">
        <w:t>,</w:t>
      </w:r>
      <w:r w:rsidRPr="005A5105">
        <w:t xml:space="preserve"> The Lancet Oncology, 21, 519-527</w:t>
      </w:r>
      <w:r w:rsidR="00A7312D">
        <w:t>.</w:t>
      </w:r>
    </w:p>
    <w:p w14:paraId="1DC52D84" w14:textId="561CB2F5" w:rsidR="00E36039" w:rsidRDefault="00E36039" w:rsidP="00E36039">
      <w:pPr>
        <w:pStyle w:val="CETReferencetext"/>
      </w:pPr>
      <w:r>
        <w:t>Huang, J. J., Bunjamin, G., Teo, E. S., Ng, D. B., &amp; Lee, Y. K.</w:t>
      </w:r>
      <w:r w:rsidR="00A7312D">
        <w:t xml:space="preserve">, </w:t>
      </w:r>
      <w:r>
        <w:t>2016</w:t>
      </w:r>
      <w:r w:rsidR="00A7312D">
        <w:t>,</w:t>
      </w:r>
      <w:r>
        <w:t xml:space="preserve"> An enclosed rotating floating photobioreactor (RFP) powered by flowing water for mass cultivation of photosynthetic microalgae</w:t>
      </w:r>
      <w:r w:rsidR="00A7312D">
        <w:t>,</w:t>
      </w:r>
      <w:r>
        <w:t xml:space="preserve"> Biotechnology for Biofuels, 9, 1-18. </w:t>
      </w:r>
    </w:p>
    <w:p w14:paraId="306FDAB9" w14:textId="08E5C280" w:rsidR="00E36039" w:rsidRPr="00A7312D" w:rsidRDefault="00E36039" w:rsidP="00E36039">
      <w:pPr>
        <w:pStyle w:val="CETReferencetext"/>
        <w:rPr>
          <w:lang w:val="es-CO"/>
        </w:rPr>
      </w:pPr>
      <w:proofErr w:type="spellStart"/>
      <w:r w:rsidRPr="00A7312D">
        <w:rPr>
          <w:lang w:val="es-CO"/>
        </w:rPr>
        <w:t>Ibanez</w:t>
      </w:r>
      <w:proofErr w:type="spellEnd"/>
      <w:r w:rsidRPr="00A7312D">
        <w:rPr>
          <w:lang w:val="es-CO"/>
        </w:rPr>
        <w:t>, F.</w:t>
      </w:r>
      <w:r w:rsidR="00A7312D">
        <w:rPr>
          <w:lang w:val="es-CO"/>
        </w:rPr>
        <w:t xml:space="preserve">, </w:t>
      </w:r>
      <w:r w:rsidRPr="00A7312D">
        <w:rPr>
          <w:lang w:val="es-CO"/>
        </w:rPr>
        <w:t>2018</w:t>
      </w:r>
      <w:r w:rsidR="00A7312D">
        <w:rPr>
          <w:lang w:val="es-CO"/>
        </w:rPr>
        <w:t>,</w:t>
      </w:r>
      <w:r w:rsidRPr="00A7312D">
        <w:rPr>
          <w:lang w:val="es-CO"/>
        </w:rPr>
        <w:t xml:space="preserve"> Protocolo para la determinación de carotenoides en frutos nativos.</w:t>
      </w:r>
    </w:p>
    <w:p w14:paraId="4E26C6C5" w14:textId="46839E4B" w:rsidR="00E36039" w:rsidRPr="005A5105" w:rsidRDefault="00E36039" w:rsidP="00E36039">
      <w:pPr>
        <w:pStyle w:val="CETReferencetext"/>
        <w:rPr>
          <w:lang w:val="es-CO"/>
        </w:rPr>
      </w:pPr>
      <w:r>
        <w:t xml:space="preserve">Llewellyn, C. A., Greig, C., </w:t>
      </w:r>
      <w:proofErr w:type="spellStart"/>
      <w:r>
        <w:t>Silkina</w:t>
      </w:r>
      <w:proofErr w:type="spellEnd"/>
      <w:r>
        <w:t xml:space="preserve">, A., </w:t>
      </w:r>
      <w:proofErr w:type="spellStart"/>
      <w:r>
        <w:t>Kultschar</w:t>
      </w:r>
      <w:proofErr w:type="spellEnd"/>
      <w:r>
        <w:t>, B., Hitchings, M. D., &amp; Farnham, G.</w:t>
      </w:r>
      <w:r w:rsidR="00A7312D">
        <w:t xml:space="preserve">, </w:t>
      </w:r>
      <w:r>
        <w:t>2020</w:t>
      </w:r>
      <w:r w:rsidR="00A7312D">
        <w:t>,</w:t>
      </w:r>
      <w:r>
        <w:t xml:space="preserve"> </w:t>
      </w:r>
      <w:proofErr w:type="spellStart"/>
      <w:r>
        <w:t>Mycosporine</w:t>
      </w:r>
      <w:proofErr w:type="spellEnd"/>
      <w:r>
        <w:t xml:space="preserve">-like amino acid and aromatic amino acid transcriptome response to UV and far-red light in the cyanobacterium </w:t>
      </w:r>
      <w:proofErr w:type="spellStart"/>
      <w:r>
        <w:t>Chlorogloeopsis</w:t>
      </w:r>
      <w:proofErr w:type="spellEnd"/>
      <w:r>
        <w:t xml:space="preserve"> </w:t>
      </w:r>
      <w:proofErr w:type="spellStart"/>
      <w:r>
        <w:t>fritschii</w:t>
      </w:r>
      <w:proofErr w:type="spellEnd"/>
      <w:r>
        <w:t xml:space="preserve"> PCC 6912</w:t>
      </w:r>
      <w:r w:rsidR="00A7312D">
        <w:t>,</w:t>
      </w:r>
      <w:r>
        <w:t xml:space="preserve"> </w:t>
      </w:r>
      <w:r w:rsidRPr="00A7312D">
        <w:rPr>
          <w:lang w:val="en-US"/>
        </w:rPr>
        <w:t xml:space="preserve">Scientific Reports, 10,1-13. </w:t>
      </w:r>
    </w:p>
    <w:p w14:paraId="40A44C0F" w14:textId="01C50BCB" w:rsidR="00E36039" w:rsidRPr="005A5105" w:rsidRDefault="00E36039" w:rsidP="00E36039">
      <w:pPr>
        <w:pStyle w:val="CETReferencetext"/>
        <w:rPr>
          <w:lang w:val="es-CO"/>
        </w:rPr>
      </w:pPr>
      <w:proofErr w:type="spellStart"/>
      <w:r w:rsidRPr="005A5105">
        <w:rPr>
          <w:lang w:val="es-CO"/>
        </w:rPr>
        <w:t>Martinez</w:t>
      </w:r>
      <w:proofErr w:type="spellEnd"/>
      <w:r w:rsidRPr="005A5105">
        <w:rPr>
          <w:lang w:val="es-CO"/>
        </w:rPr>
        <w:t xml:space="preserve">, M., Robles, J., </w:t>
      </w:r>
      <w:proofErr w:type="spellStart"/>
      <w:r w:rsidRPr="005A5105">
        <w:rPr>
          <w:lang w:val="es-CO"/>
        </w:rPr>
        <w:t>Narvaez</w:t>
      </w:r>
      <w:proofErr w:type="spellEnd"/>
      <w:r w:rsidRPr="005A5105">
        <w:rPr>
          <w:lang w:val="es-CO"/>
        </w:rPr>
        <w:t xml:space="preserve">, A., </w:t>
      </w:r>
      <w:proofErr w:type="spellStart"/>
      <w:r w:rsidRPr="005A5105">
        <w:rPr>
          <w:lang w:val="es-CO"/>
        </w:rPr>
        <w:t>Franseschi</w:t>
      </w:r>
      <w:proofErr w:type="spellEnd"/>
      <w:r w:rsidRPr="005A5105">
        <w:rPr>
          <w:lang w:val="es-CO"/>
        </w:rPr>
        <w:t>, F., Tamayo, M., Ruiz, A., &amp; López, Y.</w:t>
      </w:r>
      <w:r w:rsidR="00A7312D">
        <w:rPr>
          <w:lang w:val="es-CO"/>
        </w:rPr>
        <w:t xml:space="preserve">, </w:t>
      </w:r>
      <w:r w:rsidRPr="005A5105">
        <w:rPr>
          <w:lang w:val="es-CO"/>
        </w:rPr>
        <w:t xml:space="preserve">2022, Desarrollo celular de </w:t>
      </w:r>
      <w:proofErr w:type="spellStart"/>
      <w:r w:rsidRPr="005A5105">
        <w:rPr>
          <w:lang w:val="es-CO"/>
        </w:rPr>
        <w:t>Chlorella</w:t>
      </w:r>
      <w:proofErr w:type="spellEnd"/>
      <w:r w:rsidRPr="005A5105">
        <w:rPr>
          <w:lang w:val="es-CO"/>
        </w:rPr>
        <w:t xml:space="preserve"> </w:t>
      </w:r>
      <w:proofErr w:type="spellStart"/>
      <w:r w:rsidRPr="005A5105">
        <w:rPr>
          <w:lang w:val="es-CO"/>
        </w:rPr>
        <w:t>vulgaris</w:t>
      </w:r>
      <w:proofErr w:type="spellEnd"/>
      <w:r w:rsidRPr="005A5105">
        <w:rPr>
          <w:lang w:val="es-CO"/>
        </w:rPr>
        <w:t xml:space="preserve"> en FBR de columna de burbujeo bajo distintos regímenes de luz</w:t>
      </w:r>
      <w:r w:rsidR="00A7312D">
        <w:rPr>
          <w:lang w:val="es-CO"/>
        </w:rPr>
        <w:t xml:space="preserve">, </w:t>
      </w:r>
      <w:r w:rsidRPr="005A5105">
        <w:rPr>
          <w:lang w:val="es-CO"/>
        </w:rPr>
        <w:t>8, 1-13.</w:t>
      </w:r>
    </w:p>
    <w:p w14:paraId="7A06A2C7" w14:textId="70D69B72" w:rsidR="00E36039" w:rsidRDefault="00E36039" w:rsidP="00E36039">
      <w:pPr>
        <w:pStyle w:val="CETReferencetext"/>
      </w:pPr>
      <w:proofErr w:type="spellStart"/>
      <w:r w:rsidRPr="00A7312D">
        <w:rPr>
          <w:lang w:val="en-US"/>
        </w:rPr>
        <w:t>Metsoviti</w:t>
      </w:r>
      <w:proofErr w:type="spellEnd"/>
      <w:r w:rsidRPr="00A7312D">
        <w:rPr>
          <w:lang w:val="en-US"/>
        </w:rPr>
        <w:t xml:space="preserve">, M. N., </w:t>
      </w:r>
      <w:proofErr w:type="spellStart"/>
      <w:r w:rsidRPr="00A7312D">
        <w:rPr>
          <w:lang w:val="en-US"/>
        </w:rPr>
        <w:t>Papapolymerou</w:t>
      </w:r>
      <w:proofErr w:type="spellEnd"/>
      <w:r w:rsidRPr="00A7312D">
        <w:rPr>
          <w:lang w:val="en-US"/>
        </w:rPr>
        <w:t xml:space="preserve">, G., </w:t>
      </w:r>
      <w:proofErr w:type="spellStart"/>
      <w:r w:rsidRPr="00A7312D">
        <w:rPr>
          <w:lang w:val="en-US"/>
        </w:rPr>
        <w:t>Karapanagiotidis</w:t>
      </w:r>
      <w:proofErr w:type="spellEnd"/>
      <w:r w:rsidRPr="00A7312D">
        <w:rPr>
          <w:lang w:val="en-US"/>
        </w:rPr>
        <w:t xml:space="preserve">, I. T., &amp; </w:t>
      </w:r>
      <w:proofErr w:type="spellStart"/>
      <w:r w:rsidRPr="00A7312D">
        <w:rPr>
          <w:lang w:val="en-US"/>
        </w:rPr>
        <w:t>Katsoulas</w:t>
      </w:r>
      <w:proofErr w:type="spellEnd"/>
      <w:r w:rsidRPr="00A7312D">
        <w:rPr>
          <w:lang w:val="en-US"/>
        </w:rPr>
        <w:t>, N.</w:t>
      </w:r>
      <w:r w:rsidR="00A7312D" w:rsidRPr="00A7312D">
        <w:rPr>
          <w:lang w:val="en-US"/>
        </w:rPr>
        <w:t xml:space="preserve">, </w:t>
      </w:r>
      <w:r w:rsidRPr="00A7312D">
        <w:rPr>
          <w:lang w:val="en-US"/>
        </w:rPr>
        <w:t>2019</w:t>
      </w:r>
      <w:r w:rsidR="00A7312D" w:rsidRPr="00A7312D">
        <w:rPr>
          <w:lang w:val="en-US"/>
        </w:rPr>
        <w:t>,</w:t>
      </w:r>
      <w:r w:rsidRPr="00A7312D">
        <w:rPr>
          <w:lang w:val="en-US"/>
        </w:rPr>
        <w:t xml:space="preserve"> </w:t>
      </w:r>
      <w:r>
        <w:t>Effect of Light Intensity and Quality on Growth Rate and Composition of Chlorella vulgaris</w:t>
      </w:r>
      <w:r w:rsidR="00A7312D">
        <w:t>,</w:t>
      </w:r>
      <w:r>
        <w:t xml:space="preserve"> Plants, 9, 1-31. </w:t>
      </w:r>
    </w:p>
    <w:p w14:paraId="6B9FA97F" w14:textId="392FCA88" w:rsidR="00E36039" w:rsidRPr="00A7312D" w:rsidRDefault="00E36039" w:rsidP="00E36039">
      <w:pPr>
        <w:pStyle w:val="CETReferencetext"/>
        <w:rPr>
          <w:lang w:val="en-US"/>
        </w:rPr>
      </w:pPr>
      <w:r>
        <w:t>Narla, S., &amp; Lim, H. W.</w:t>
      </w:r>
      <w:r w:rsidR="00A7312D">
        <w:t xml:space="preserve">, </w:t>
      </w:r>
      <w:r>
        <w:t>Sunscreen: FDA regulation, and environmental and health impact</w:t>
      </w:r>
      <w:r w:rsidR="00A7312D">
        <w:t xml:space="preserve">, </w:t>
      </w:r>
      <w:r w:rsidRPr="00A7312D">
        <w:rPr>
          <w:lang w:val="en-US"/>
        </w:rPr>
        <w:t xml:space="preserve">Photochemical &amp; Photobiological Sciences, 19, 7-66. </w:t>
      </w:r>
    </w:p>
    <w:p w14:paraId="67365B0E" w14:textId="35190717" w:rsidR="00E36039" w:rsidRPr="005A5105" w:rsidRDefault="00E36039" w:rsidP="00E36039">
      <w:pPr>
        <w:pStyle w:val="CETReferencetext"/>
        <w:rPr>
          <w:lang w:val="es-CO"/>
        </w:rPr>
      </w:pPr>
      <w:proofErr w:type="spellStart"/>
      <w:r w:rsidRPr="005A5105">
        <w:rPr>
          <w:lang w:val="es-CO"/>
        </w:rPr>
        <w:t>Outon</w:t>
      </w:r>
      <w:proofErr w:type="spellEnd"/>
      <w:r w:rsidRPr="005A5105">
        <w:rPr>
          <w:lang w:val="es-CO"/>
        </w:rPr>
        <w:t>, J.</w:t>
      </w:r>
      <w:r w:rsidR="00A7312D">
        <w:rPr>
          <w:lang w:val="es-CO"/>
        </w:rPr>
        <w:t xml:space="preserve">, </w:t>
      </w:r>
      <w:r w:rsidRPr="005A5105">
        <w:rPr>
          <w:lang w:val="es-CO"/>
        </w:rPr>
        <w:t>2019</w:t>
      </w:r>
      <w:r w:rsidR="00A7312D">
        <w:rPr>
          <w:lang w:val="es-CO"/>
        </w:rPr>
        <w:t>,</w:t>
      </w:r>
      <w:r w:rsidRPr="005A5105">
        <w:rPr>
          <w:lang w:val="es-CO"/>
        </w:rPr>
        <w:t xml:space="preserve"> </w:t>
      </w:r>
      <w:r w:rsidR="005A5105" w:rsidRPr="005A5105">
        <w:rPr>
          <w:lang w:val="es-CO"/>
        </w:rPr>
        <w:t>Diseño y validación de un método no invasivo para la determinación del factor de protección de cremas solares. Fabricación de una crema a partir de microalgas y el diseño de su proceso de producción.</w:t>
      </w:r>
    </w:p>
    <w:p w14:paraId="7A209DE4" w14:textId="3084BE32" w:rsidR="00E36039" w:rsidRPr="005A5105" w:rsidRDefault="00E36039" w:rsidP="00E36039">
      <w:pPr>
        <w:pStyle w:val="CETReferencetext"/>
        <w:rPr>
          <w:lang w:val="es-CO"/>
        </w:rPr>
      </w:pPr>
      <w:r w:rsidRPr="00A7312D">
        <w:rPr>
          <w:lang w:val="es-CO"/>
        </w:rPr>
        <w:t xml:space="preserve">Reis Mansur, M. C. P. P., </w:t>
      </w:r>
      <w:proofErr w:type="spellStart"/>
      <w:r w:rsidRPr="00A7312D">
        <w:rPr>
          <w:lang w:val="es-CO"/>
        </w:rPr>
        <w:t>Leitão</w:t>
      </w:r>
      <w:proofErr w:type="spellEnd"/>
      <w:r w:rsidRPr="00A7312D">
        <w:rPr>
          <w:lang w:val="es-CO"/>
        </w:rPr>
        <w:t xml:space="preserve">, S. G., </w:t>
      </w:r>
      <w:proofErr w:type="spellStart"/>
      <w:r w:rsidRPr="00A7312D">
        <w:rPr>
          <w:lang w:val="es-CO"/>
        </w:rPr>
        <w:t>Cerqueira</w:t>
      </w:r>
      <w:proofErr w:type="spellEnd"/>
      <w:r w:rsidRPr="00A7312D">
        <w:rPr>
          <w:lang w:val="es-CO"/>
        </w:rPr>
        <w:t xml:space="preserve">-Coutinho, C., </w:t>
      </w:r>
      <w:proofErr w:type="spellStart"/>
      <w:r w:rsidRPr="00A7312D">
        <w:rPr>
          <w:lang w:val="es-CO"/>
        </w:rPr>
        <w:t>Vermelho</w:t>
      </w:r>
      <w:proofErr w:type="spellEnd"/>
      <w:r w:rsidRPr="00A7312D">
        <w:rPr>
          <w:lang w:val="es-CO"/>
        </w:rPr>
        <w:t xml:space="preserve">, A. B. Silva, R. S., </w:t>
      </w:r>
      <w:proofErr w:type="spellStart"/>
      <w:r w:rsidRPr="00A7312D">
        <w:rPr>
          <w:lang w:val="es-CO"/>
        </w:rPr>
        <w:t>Presgrave</w:t>
      </w:r>
      <w:proofErr w:type="spellEnd"/>
      <w:r w:rsidRPr="00A7312D">
        <w:rPr>
          <w:lang w:val="es-CO"/>
        </w:rPr>
        <w:t xml:space="preserve">, O. A. F., </w:t>
      </w:r>
      <w:proofErr w:type="spellStart"/>
      <w:r w:rsidRPr="00A7312D">
        <w:rPr>
          <w:lang w:val="es-CO"/>
        </w:rPr>
        <w:t>Leitão</w:t>
      </w:r>
      <w:proofErr w:type="spellEnd"/>
      <w:r w:rsidRPr="00A7312D">
        <w:rPr>
          <w:lang w:val="es-CO"/>
        </w:rPr>
        <w:t xml:space="preserve">, Á A. C., </w:t>
      </w:r>
      <w:proofErr w:type="spellStart"/>
      <w:r w:rsidRPr="00A7312D">
        <w:rPr>
          <w:lang w:val="es-CO"/>
        </w:rPr>
        <w:t>Leitão</w:t>
      </w:r>
      <w:proofErr w:type="spellEnd"/>
      <w:r w:rsidRPr="00A7312D">
        <w:rPr>
          <w:lang w:val="es-CO"/>
        </w:rPr>
        <w:t>, G. G. Ricci-Júnior, E., &amp; Santos, E. P.</w:t>
      </w:r>
      <w:r w:rsidR="00A7312D" w:rsidRPr="00A7312D">
        <w:rPr>
          <w:lang w:val="es-CO"/>
        </w:rPr>
        <w:t xml:space="preserve">, </w:t>
      </w:r>
      <w:r w:rsidRPr="00A7312D">
        <w:rPr>
          <w:lang w:val="es-CO"/>
        </w:rPr>
        <w:t>2016</w:t>
      </w:r>
      <w:r w:rsidR="00A7312D" w:rsidRPr="00A7312D">
        <w:rPr>
          <w:lang w:val="es-CO"/>
        </w:rPr>
        <w:t>,</w:t>
      </w:r>
      <w:r w:rsidRPr="00A7312D">
        <w:rPr>
          <w:lang w:val="es-CO"/>
        </w:rPr>
        <w:t xml:space="preserve"> In vitro and in vivo </w:t>
      </w:r>
      <w:proofErr w:type="spellStart"/>
      <w:r w:rsidRPr="00A7312D">
        <w:rPr>
          <w:lang w:val="es-CO"/>
        </w:rPr>
        <w:t>evaluation</w:t>
      </w:r>
      <w:proofErr w:type="spellEnd"/>
      <w:r w:rsidRPr="00A7312D">
        <w:rPr>
          <w:lang w:val="es-CO"/>
        </w:rPr>
        <w:t xml:space="preserve"> </w:t>
      </w:r>
      <w:proofErr w:type="spellStart"/>
      <w:r w:rsidRPr="00A7312D">
        <w:rPr>
          <w:lang w:val="es-CO"/>
        </w:rPr>
        <w:t>of</w:t>
      </w:r>
      <w:proofErr w:type="spellEnd"/>
      <w:r w:rsidRPr="00A7312D">
        <w:rPr>
          <w:lang w:val="es-CO"/>
        </w:rPr>
        <w:t xml:space="preserve"> </w:t>
      </w:r>
      <w:proofErr w:type="spellStart"/>
      <w:r w:rsidRPr="00A7312D">
        <w:rPr>
          <w:lang w:val="es-CO"/>
        </w:rPr>
        <w:t>efficacy</w:t>
      </w:r>
      <w:proofErr w:type="spellEnd"/>
      <w:r w:rsidRPr="00A7312D">
        <w:rPr>
          <w:lang w:val="es-CO"/>
        </w:rPr>
        <w:t xml:space="preserve"> and safety </w:t>
      </w:r>
      <w:proofErr w:type="spellStart"/>
      <w:r w:rsidRPr="00A7312D">
        <w:rPr>
          <w:lang w:val="es-CO"/>
        </w:rPr>
        <w:t>of</w:t>
      </w:r>
      <w:proofErr w:type="spellEnd"/>
      <w:r w:rsidRPr="00A7312D">
        <w:rPr>
          <w:lang w:val="es-CO"/>
        </w:rPr>
        <w:t xml:space="preserve"> </w:t>
      </w:r>
      <w:proofErr w:type="spellStart"/>
      <w:r w:rsidRPr="00A7312D">
        <w:rPr>
          <w:lang w:val="es-CO"/>
        </w:rPr>
        <w:t>photoprotective</w:t>
      </w:r>
      <w:proofErr w:type="spellEnd"/>
      <w:r w:rsidRPr="00A7312D">
        <w:rPr>
          <w:lang w:val="es-CO"/>
        </w:rPr>
        <w:t xml:space="preserve"> </w:t>
      </w:r>
      <w:proofErr w:type="spellStart"/>
      <w:r w:rsidRPr="00A7312D">
        <w:rPr>
          <w:lang w:val="es-CO"/>
        </w:rPr>
        <w:t>formulations</w:t>
      </w:r>
      <w:proofErr w:type="spellEnd"/>
      <w:r w:rsidRPr="00A7312D">
        <w:rPr>
          <w:lang w:val="es-CO"/>
        </w:rPr>
        <w:t xml:space="preserve"> </w:t>
      </w:r>
      <w:proofErr w:type="spellStart"/>
      <w:r w:rsidRPr="00A7312D">
        <w:rPr>
          <w:lang w:val="es-CO"/>
        </w:rPr>
        <w:t>containing</w:t>
      </w:r>
      <w:proofErr w:type="spellEnd"/>
      <w:r w:rsidRPr="00A7312D">
        <w:rPr>
          <w:lang w:val="es-CO"/>
        </w:rPr>
        <w:t xml:space="preserve"> </w:t>
      </w:r>
      <w:proofErr w:type="spellStart"/>
      <w:r w:rsidRPr="00A7312D">
        <w:rPr>
          <w:lang w:val="es-CO"/>
        </w:rPr>
        <w:t>antioxidant</w:t>
      </w:r>
      <w:proofErr w:type="spellEnd"/>
      <w:r w:rsidRPr="00A7312D">
        <w:rPr>
          <w:lang w:val="es-CO"/>
        </w:rPr>
        <w:t xml:space="preserve"> </w:t>
      </w:r>
      <w:proofErr w:type="spellStart"/>
      <w:r w:rsidRPr="00A7312D">
        <w:rPr>
          <w:lang w:val="es-CO"/>
        </w:rPr>
        <w:t>extracts</w:t>
      </w:r>
      <w:proofErr w:type="spellEnd"/>
      <w:r w:rsidR="00A7312D">
        <w:rPr>
          <w:lang w:val="es-CO"/>
        </w:rPr>
        <w:t>,</w:t>
      </w:r>
      <w:r w:rsidRPr="00A7312D">
        <w:rPr>
          <w:lang w:val="es-CO"/>
        </w:rPr>
        <w:t xml:space="preserve"> </w:t>
      </w:r>
      <w:r w:rsidRPr="005A5105">
        <w:rPr>
          <w:lang w:val="es-CO"/>
        </w:rPr>
        <w:t xml:space="preserve">Revista Brasileira De Farmacognosia, 26, 251-258. </w:t>
      </w:r>
    </w:p>
    <w:p w14:paraId="505624BF" w14:textId="2906826C" w:rsidR="00E36039" w:rsidRPr="005A5105" w:rsidRDefault="00E36039" w:rsidP="00E36039">
      <w:pPr>
        <w:pStyle w:val="CETReferencetext"/>
        <w:rPr>
          <w:lang w:val="es-CO"/>
        </w:rPr>
      </w:pPr>
      <w:proofErr w:type="spellStart"/>
      <w:r w:rsidRPr="005A5105">
        <w:rPr>
          <w:lang w:val="es-CO"/>
        </w:rPr>
        <w:t>Rios</w:t>
      </w:r>
      <w:proofErr w:type="spellEnd"/>
      <w:r w:rsidRPr="005A5105">
        <w:rPr>
          <w:lang w:val="es-CO"/>
        </w:rPr>
        <w:t>, A.</w:t>
      </w:r>
      <w:r w:rsidR="00A7312D">
        <w:rPr>
          <w:lang w:val="es-CO"/>
        </w:rPr>
        <w:t xml:space="preserve">, </w:t>
      </w:r>
      <w:r w:rsidRPr="005A5105">
        <w:rPr>
          <w:lang w:val="es-CO"/>
        </w:rPr>
        <w:t>2020</w:t>
      </w:r>
      <w:r w:rsidR="00A7312D">
        <w:rPr>
          <w:lang w:val="es-CO"/>
        </w:rPr>
        <w:t>,</w:t>
      </w:r>
      <w:r w:rsidRPr="005A5105">
        <w:rPr>
          <w:lang w:val="es-CO"/>
        </w:rPr>
        <w:t xml:space="preserve"> Proyecto genérico: </w:t>
      </w:r>
      <w:r w:rsidR="005A5105">
        <w:rPr>
          <w:lang w:val="es-CO"/>
        </w:rPr>
        <w:t>O</w:t>
      </w:r>
      <w:r w:rsidR="005A5105" w:rsidRPr="005A5105">
        <w:rPr>
          <w:lang w:val="es-CO"/>
        </w:rPr>
        <w:t>btención de materias primas, principios activos, medicamentos y productos biológicos</w:t>
      </w:r>
      <w:r w:rsidRPr="005A5105">
        <w:rPr>
          <w:lang w:val="es-CO"/>
        </w:rPr>
        <w:t xml:space="preserve">. </w:t>
      </w:r>
    </w:p>
    <w:p w14:paraId="65C4B228" w14:textId="499A4928" w:rsidR="00E36039" w:rsidRDefault="00E36039" w:rsidP="00E36039">
      <w:pPr>
        <w:pStyle w:val="CETReferencetext"/>
      </w:pPr>
      <w:r>
        <w:lastRenderedPageBreak/>
        <w:t xml:space="preserve">Safi, C., </w:t>
      </w:r>
      <w:proofErr w:type="spellStart"/>
      <w:r>
        <w:t>Zebib</w:t>
      </w:r>
      <w:proofErr w:type="spellEnd"/>
      <w:r>
        <w:t xml:space="preserve">, B., Merah, O., </w:t>
      </w:r>
      <w:proofErr w:type="spellStart"/>
      <w:r>
        <w:t>Pontalier</w:t>
      </w:r>
      <w:proofErr w:type="spellEnd"/>
      <w:r>
        <w:t>, P., &amp; Vaca-Garcia, C.</w:t>
      </w:r>
      <w:r w:rsidR="00A7312D">
        <w:t xml:space="preserve">, </w:t>
      </w:r>
      <w:r>
        <w:t>2014</w:t>
      </w:r>
      <w:r w:rsidR="00A7312D">
        <w:t>,</w:t>
      </w:r>
      <w:r>
        <w:t xml:space="preserve"> Morphology, composition, production, </w:t>
      </w:r>
      <w:proofErr w:type="gramStart"/>
      <w:r>
        <w:t>processing</w:t>
      </w:r>
      <w:proofErr w:type="gramEnd"/>
      <w:r>
        <w:t xml:space="preserve"> and applications of Chlorella vulgaris: A review</w:t>
      </w:r>
      <w:r w:rsidR="00A7312D">
        <w:t>,</w:t>
      </w:r>
      <w:r>
        <w:t xml:space="preserve"> Renewable</w:t>
      </w:r>
      <w:r w:rsidR="00A7312D">
        <w:t xml:space="preserve"> and</w:t>
      </w:r>
      <w:r>
        <w:t xml:space="preserve"> Sustainable Energy Reviews, 35, 265-278. </w:t>
      </w:r>
    </w:p>
    <w:p w14:paraId="45F386DE" w14:textId="75C9891F" w:rsidR="00E36039" w:rsidRDefault="00E36039" w:rsidP="00E36039">
      <w:pPr>
        <w:pStyle w:val="CETReferencetext"/>
      </w:pPr>
      <w:r>
        <w:t xml:space="preserve">Salvador, A., &amp; </w:t>
      </w:r>
      <w:proofErr w:type="spellStart"/>
      <w:r>
        <w:t>Chisvert</w:t>
      </w:r>
      <w:proofErr w:type="spellEnd"/>
      <w:r>
        <w:t>, A.</w:t>
      </w:r>
      <w:r w:rsidR="00A7312D">
        <w:t xml:space="preserve">, </w:t>
      </w:r>
      <w:r>
        <w:t>2005</w:t>
      </w:r>
      <w:r w:rsidR="00A7312D">
        <w:t>,</w:t>
      </w:r>
      <w:r>
        <w:t xml:space="preserve"> Sunscreen analysis</w:t>
      </w:r>
      <w:r w:rsidR="00A7312D">
        <w:t>,</w:t>
      </w:r>
      <w:r>
        <w:t xml:space="preserve"> Analytica </w:t>
      </w:r>
      <w:proofErr w:type="spellStart"/>
      <w:r>
        <w:t>Chimica</w:t>
      </w:r>
      <w:proofErr w:type="spellEnd"/>
      <w:r>
        <w:t xml:space="preserve"> Acta, 537, 1-14. </w:t>
      </w:r>
    </w:p>
    <w:p w14:paraId="2A89C06D" w14:textId="31F6B937" w:rsidR="00E36039" w:rsidRDefault="00E36039" w:rsidP="00E36039">
      <w:pPr>
        <w:pStyle w:val="CETReferencetext"/>
      </w:pPr>
      <w:r>
        <w:t>U.S. Food &amp; Drug</w:t>
      </w:r>
      <w:r w:rsidR="00A7312D">
        <w:t xml:space="preserve">, </w:t>
      </w:r>
      <w:r>
        <w:t>2023</w:t>
      </w:r>
      <w:r w:rsidR="00A7312D">
        <w:t>,</w:t>
      </w:r>
      <w:r>
        <w:t xml:space="preserve"> Inactive Ingredients Database Download. </w:t>
      </w:r>
    </w:p>
    <w:p w14:paraId="01A7DDE8" w14:textId="07B118A1" w:rsidR="00E36039" w:rsidRDefault="00E36039" w:rsidP="00E36039">
      <w:pPr>
        <w:pStyle w:val="CETReferencetext"/>
      </w:pPr>
      <w:r>
        <w:t>World Health Organization</w:t>
      </w:r>
      <w:r w:rsidR="00A7312D">
        <w:t xml:space="preserve">, </w:t>
      </w:r>
      <w:r>
        <w:t>2022</w:t>
      </w:r>
      <w:r w:rsidR="00A7312D">
        <w:t>,</w:t>
      </w:r>
      <w:r>
        <w:t xml:space="preserve"> Ultraviolet radiation</w:t>
      </w:r>
      <w:r w:rsidR="00A7312D">
        <w:t>,</w:t>
      </w:r>
      <w:r>
        <w:t xml:space="preserve"> </w:t>
      </w:r>
    </w:p>
    <w:p w14:paraId="19C4FC68" w14:textId="49E01D20" w:rsidR="004628D2" w:rsidRDefault="00E36039" w:rsidP="00E36039">
      <w:pPr>
        <w:pStyle w:val="CETReferencetext"/>
      </w:pPr>
      <w:proofErr w:type="spellStart"/>
      <w:r>
        <w:t>Yarkent</w:t>
      </w:r>
      <w:proofErr w:type="spellEnd"/>
      <w:r>
        <w:t xml:space="preserve">, Ç, </w:t>
      </w:r>
      <w:proofErr w:type="spellStart"/>
      <w:r>
        <w:t>Gürlek</w:t>
      </w:r>
      <w:proofErr w:type="spellEnd"/>
      <w:r>
        <w:t xml:space="preserve">, C., &amp; </w:t>
      </w:r>
      <w:proofErr w:type="spellStart"/>
      <w:r>
        <w:t>Oncel</w:t>
      </w:r>
      <w:proofErr w:type="spellEnd"/>
      <w:r>
        <w:t>, S. S.</w:t>
      </w:r>
      <w:r w:rsidR="00A7312D">
        <w:t xml:space="preserve">, </w:t>
      </w:r>
      <w:r>
        <w:t>2020</w:t>
      </w:r>
      <w:r w:rsidR="00A7312D">
        <w:t>,</w:t>
      </w:r>
      <w:r>
        <w:t xml:space="preserve"> Potential of microalgal compounds in trending natural cosmetics: A review</w:t>
      </w:r>
      <w:r w:rsidR="00A7312D">
        <w:t>,</w:t>
      </w:r>
      <w:r>
        <w:t xml:space="preserve"> Sustainable Chemistry and Pharmacy, 17, 1-7.</w:t>
      </w:r>
    </w:p>
    <w:p w14:paraId="790124F3" w14:textId="7FB33D6F" w:rsidR="005A5105" w:rsidRDefault="005A5105" w:rsidP="00E36039">
      <w:pPr>
        <w:pStyle w:val="CETReferencetext"/>
      </w:pPr>
      <w:r w:rsidRPr="005A5105">
        <w:t>.</w:t>
      </w:r>
    </w:p>
    <w:sectPr w:rsidR="005A5105" w:rsidSect="002A5AA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E219" w14:textId="77777777" w:rsidR="002A5AAF" w:rsidRDefault="002A5AAF" w:rsidP="004F5E36">
      <w:r>
        <w:separator/>
      </w:r>
    </w:p>
  </w:endnote>
  <w:endnote w:type="continuationSeparator" w:id="0">
    <w:p w14:paraId="08EDFEB6" w14:textId="77777777" w:rsidR="002A5AAF" w:rsidRDefault="002A5AA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6B5C" w14:textId="77777777" w:rsidR="002A5AAF" w:rsidRDefault="002A5AAF" w:rsidP="004F5E36">
      <w:r>
        <w:separator/>
      </w:r>
    </w:p>
  </w:footnote>
  <w:footnote w:type="continuationSeparator" w:id="0">
    <w:p w14:paraId="51E4D298" w14:textId="77777777" w:rsidR="002A5AAF" w:rsidRDefault="002A5AA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63161">
    <w:abstractNumId w:val="10"/>
  </w:num>
  <w:num w:numId="2" w16cid:durableId="21252266">
    <w:abstractNumId w:val="8"/>
  </w:num>
  <w:num w:numId="3" w16cid:durableId="1806582915">
    <w:abstractNumId w:val="3"/>
  </w:num>
  <w:num w:numId="4" w16cid:durableId="675112917">
    <w:abstractNumId w:val="2"/>
  </w:num>
  <w:num w:numId="5" w16cid:durableId="1227180836">
    <w:abstractNumId w:val="1"/>
  </w:num>
  <w:num w:numId="6" w16cid:durableId="443698027">
    <w:abstractNumId w:val="0"/>
  </w:num>
  <w:num w:numId="7" w16cid:durableId="563419414">
    <w:abstractNumId w:val="9"/>
  </w:num>
  <w:num w:numId="8" w16cid:durableId="1071581328">
    <w:abstractNumId w:val="7"/>
  </w:num>
  <w:num w:numId="9" w16cid:durableId="1476995986">
    <w:abstractNumId w:val="6"/>
  </w:num>
  <w:num w:numId="10" w16cid:durableId="177158466">
    <w:abstractNumId w:val="5"/>
  </w:num>
  <w:num w:numId="11" w16cid:durableId="2133863195">
    <w:abstractNumId w:val="4"/>
  </w:num>
  <w:num w:numId="12" w16cid:durableId="1094521356">
    <w:abstractNumId w:val="17"/>
  </w:num>
  <w:num w:numId="13" w16cid:durableId="397948066">
    <w:abstractNumId w:val="12"/>
  </w:num>
  <w:num w:numId="14" w16cid:durableId="1346202622">
    <w:abstractNumId w:val="18"/>
  </w:num>
  <w:num w:numId="15" w16cid:durableId="885684126">
    <w:abstractNumId w:val="20"/>
  </w:num>
  <w:num w:numId="16" w16cid:durableId="2008821550">
    <w:abstractNumId w:val="19"/>
  </w:num>
  <w:num w:numId="17" w16cid:durableId="1923055586">
    <w:abstractNumId w:val="11"/>
  </w:num>
  <w:num w:numId="18" w16cid:durableId="935333683">
    <w:abstractNumId w:val="12"/>
    <w:lvlOverride w:ilvl="0">
      <w:startOverride w:val="1"/>
    </w:lvlOverride>
  </w:num>
  <w:num w:numId="19" w16cid:durableId="1034623852">
    <w:abstractNumId w:val="16"/>
  </w:num>
  <w:num w:numId="20" w16cid:durableId="966396419">
    <w:abstractNumId w:val="15"/>
  </w:num>
  <w:num w:numId="21" w16cid:durableId="783036152">
    <w:abstractNumId w:val="14"/>
  </w:num>
  <w:num w:numId="22" w16cid:durableId="1803647677">
    <w:abstractNumId w:val="13"/>
  </w:num>
  <w:num w:numId="23" w16cid:durableId="1170019636">
    <w:abstractNumId w:val="10"/>
  </w:num>
  <w:num w:numId="24" w16cid:durableId="1889880294">
    <w:abstractNumId w:val="10"/>
  </w:num>
  <w:num w:numId="25" w16cid:durableId="11052249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562A9"/>
    <w:rsid w:val="00062A9A"/>
    <w:rsid w:val="00065058"/>
    <w:rsid w:val="00086C39"/>
    <w:rsid w:val="000A03B2"/>
    <w:rsid w:val="000D0268"/>
    <w:rsid w:val="000D34BE"/>
    <w:rsid w:val="000E102F"/>
    <w:rsid w:val="000E36F1"/>
    <w:rsid w:val="000E3A73"/>
    <w:rsid w:val="000E414A"/>
    <w:rsid w:val="000E5563"/>
    <w:rsid w:val="000F093C"/>
    <w:rsid w:val="000F787B"/>
    <w:rsid w:val="001075B7"/>
    <w:rsid w:val="0012091F"/>
    <w:rsid w:val="00126BC2"/>
    <w:rsid w:val="001308B6"/>
    <w:rsid w:val="0013121F"/>
    <w:rsid w:val="00131FE6"/>
    <w:rsid w:val="0013263F"/>
    <w:rsid w:val="001331DF"/>
    <w:rsid w:val="00134DE4"/>
    <w:rsid w:val="0014034D"/>
    <w:rsid w:val="00144D16"/>
    <w:rsid w:val="00150E59"/>
    <w:rsid w:val="00152DE3"/>
    <w:rsid w:val="00156F74"/>
    <w:rsid w:val="00164CF9"/>
    <w:rsid w:val="001667A6"/>
    <w:rsid w:val="00184AD6"/>
    <w:rsid w:val="001A4AF7"/>
    <w:rsid w:val="001B0349"/>
    <w:rsid w:val="001B1E93"/>
    <w:rsid w:val="001B65C1"/>
    <w:rsid w:val="001C684B"/>
    <w:rsid w:val="001D0CFB"/>
    <w:rsid w:val="001D21AF"/>
    <w:rsid w:val="001D53FC"/>
    <w:rsid w:val="001F42A5"/>
    <w:rsid w:val="001F7B9D"/>
    <w:rsid w:val="002016F4"/>
    <w:rsid w:val="00201C93"/>
    <w:rsid w:val="002224B4"/>
    <w:rsid w:val="002447EF"/>
    <w:rsid w:val="00251550"/>
    <w:rsid w:val="00263B05"/>
    <w:rsid w:val="0027221A"/>
    <w:rsid w:val="00275B61"/>
    <w:rsid w:val="00280FAF"/>
    <w:rsid w:val="00282656"/>
    <w:rsid w:val="00296B83"/>
    <w:rsid w:val="002A5AAF"/>
    <w:rsid w:val="002B4015"/>
    <w:rsid w:val="002B78CE"/>
    <w:rsid w:val="002C2FB6"/>
    <w:rsid w:val="002E5FA7"/>
    <w:rsid w:val="002F3309"/>
    <w:rsid w:val="003008CE"/>
    <w:rsid w:val="003009B7"/>
    <w:rsid w:val="00300E56"/>
    <w:rsid w:val="0030152C"/>
    <w:rsid w:val="0030469C"/>
    <w:rsid w:val="00321CA6"/>
    <w:rsid w:val="00323763"/>
    <w:rsid w:val="00323C5F"/>
    <w:rsid w:val="00334C09"/>
    <w:rsid w:val="003723D4"/>
    <w:rsid w:val="00381905"/>
    <w:rsid w:val="00384CC8"/>
    <w:rsid w:val="003871FD"/>
    <w:rsid w:val="003A1E30"/>
    <w:rsid w:val="003A2829"/>
    <w:rsid w:val="003A6FC6"/>
    <w:rsid w:val="003A7D1C"/>
    <w:rsid w:val="003B304B"/>
    <w:rsid w:val="003B3146"/>
    <w:rsid w:val="003F015E"/>
    <w:rsid w:val="00400414"/>
    <w:rsid w:val="0041446B"/>
    <w:rsid w:val="0044071E"/>
    <w:rsid w:val="0044329C"/>
    <w:rsid w:val="00453E24"/>
    <w:rsid w:val="00454D0B"/>
    <w:rsid w:val="00457456"/>
    <w:rsid w:val="004577FE"/>
    <w:rsid w:val="00457B9C"/>
    <w:rsid w:val="0046164A"/>
    <w:rsid w:val="004628D2"/>
    <w:rsid w:val="00462DCD"/>
    <w:rsid w:val="004648AD"/>
    <w:rsid w:val="004703A9"/>
    <w:rsid w:val="004760DE"/>
    <w:rsid w:val="004761E9"/>
    <w:rsid w:val="004763D7"/>
    <w:rsid w:val="004A004E"/>
    <w:rsid w:val="004A24CF"/>
    <w:rsid w:val="004B51D1"/>
    <w:rsid w:val="004C3D1D"/>
    <w:rsid w:val="004C3D84"/>
    <w:rsid w:val="004C7913"/>
    <w:rsid w:val="004D6E1A"/>
    <w:rsid w:val="004E4DD6"/>
    <w:rsid w:val="004F5E36"/>
    <w:rsid w:val="00507B47"/>
    <w:rsid w:val="00507BEF"/>
    <w:rsid w:val="00507CC9"/>
    <w:rsid w:val="005119A5"/>
    <w:rsid w:val="00516AAC"/>
    <w:rsid w:val="005278B7"/>
    <w:rsid w:val="00532016"/>
    <w:rsid w:val="005346C8"/>
    <w:rsid w:val="00543E7D"/>
    <w:rsid w:val="00544D5E"/>
    <w:rsid w:val="00547A68"/>
    <w:rsid w:val="005531C9"/>
    <w:rsid w:val="00570C43"/>
    <w:rsid w:val="00573AAC"/>
    <w:rsid w:val="005A5105"/>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3766"/>
    <w:rsid w:val="006A23E9"/>
    <w:rsid w:val="006A3281"/>
    <w:rsid w:val="006B4888"/>
    <w:rsid w:val="006C2E45"/>
    <w:rsid w:val="006C359C"/>
    <w:rsid w:val="006C5579"/>
    <w:rsid w:val="006D6E8B"/>
    <w:rsid w:val="006E737D"/>
    <w:rsid w:val="006F28FD"/>
    <w:rsid w:val="00702620"/>
    <w:rsid w:val="00713973"/>
    <w:rsid w:val="00720A24"/>
    <w:rsid w:val="00732386"/>
    <w:rsid w:val="0073514D"/>
    <w:rsid w:val="007447F3"/>
    <w:rsid w:val="0075499F"/>
    <w:rsid w:val="007661C8"/>
    <w:rsid w:val="0077098D"/>
    <w:rsid w:val="007931FA"/>
    <w:rsid w:val="00797C5E"/>
    <w:rsid w:val="007A4861"/>
    <w:rsid w:val="007A7BBA"/>
    <w:rsid w:val="007B0C50"/>
    <w:rsid w:val="007B48F9"/>
    <w:rsid w:val="007C1A43"/>
    <w:rsid w:val="007D0951"/>
    <w:rsid w:val="0080013E"/>
    <w:rsid w:val="00813288"/>
    <w:rsid w:val="008168FC"/>
    <w:rsid w:val="008176FC"/>
    <w:rsid w:val="00830996"/>
    <w:rsid w:val="008345F1"/>
    <w:rsid w:val="00843EAC"/>
    <w:rsid w:val="00865B07"/>
    <w:rsid w:val="008667EA"/>
    <w:rsid w:val="0087637F"/>
    <w:rsid w:val="00892AD5"/>
    <w:rsid w:val="008A1512"/>
    <w:rsid w:val="008B7C03"/>
    <w:rsid w:val="008D32B9"/>
    <w:rsid w:val="008D433B"/>
    <w:rsid w:val="008D4A16"/>
    <w:rsid w:val="008E566E"/>
    <w:rsid w:val="008E70BF"/>
    <w:rsid w:val="0090161A"/>
    <w:rsid w:val="00901EB6"/>
    <w:rsid w:val="00902EDA"/>
    <w:rsid w:val="00904C62"/>
    <w:rsid w:val="00915942"/>
    <w:rsid w:val="00922BA8"/>
    <w:rsid w:val="00924DAC"/>
    <w:rsid w:val="00927058"/>
    <w:rsid w:val="00942750"/>
    <w:rsid w:val="009450CE"/>
    <w:rsid w:val="009459BB"/>
    <w:rsid w:val="00947179"/>
    <w:rsid w:val="00947E59"/>
    <w:rsid w:val="0095164B"/>
    <w:rsid w:val="00954090"/>
    <w:rsid w:val="009573E7"/>
    <w:rsid w:val="0096178A"/>
    <w:rsid w:val="00963E05"/>
    <w:rsid w:val="00964A45"/>
    <w:rsid w:val="00967843"/>
    <w:rsid w:val="00967D54"/>
    <w:rsid w:val="00970157"/>
    <w:rsid w:val="00971028"/>
    <w:rsid w:val="00993B84"/>
    <w:rsid w:val="00996483"/>
    <w:rsid w:val="00996F5A"/>
    <w:rsid w:val="009B041A"/>
    <w:rsid w:val="009C37C3"/>
    <w:rsid w:val="009C7C86"/>
    <w:rsid w:val="009D2FF7"/>
    <w:rsid w:val="009E7884"/>
    <w:rsid w:val="009E788A"/>
    <w:rsid w:val="009F0E08"/>
    <w:rsid w:val="00A1763D"/>
    <w:rsid w:val="00A17CEC"/>
    <w:rsid w:val="00A27EF0"/>
    <w:rsid w:val="00A36DE4"/>
    <w:rsid w:val="00A42361"/>
    <w:rsid w:val="00A50B20"/>
    <w:rsid w:val="00A51390"/>
    <w:rsid w:val="00A60D13"/>
    <w:rsid w:val="00A7223D"/>
    <w:rsid w:val="00A72745"/>
    <w:rsid w:val="00A7312D"/>
    <w:rsid w:val="00A76EFC"/>
    <w:rsid w:val="00A87D50"/>
    <w:rsid w:val="00A91010"/>
    <w:rsid w:val="00A97F29"/>
    <w:rsid w:val="00AA702E"/>
    <w:rsid w:val="00AA7D26"/>
    <w:rsid w:val="00AB0964"/>
    <w:rsid w:val="00AB3A19"/>
    <w:rsid w:val="00AB5011"/>
    <w:rsid w:val="00AC7368"/>
    <w:rsid w:val="00AD16B9"/>
    <w:rsid w:val="00AE377D"/>
    <w:rsid w:val="00AF0EBA"/>
    <w:rsid w:val="00B02C8A"/>
    <w:rsid w:val="00B15EBF"/>
    <w:rsid w:val="00B17FBD"/>
    <w:rsid w:val="00B315A6"/>
    <w:rsid w:val="00B31813"/>
    <w:rsid w:val="00B33365"/>
    <w:rsid w:val="00B57B36"/>
    <w:rsid w:val="00B57E6F"/>
    <w:rsid w:val="00B8686D"/>
    <w:rsid w:val="00B93F69"/>
    <w:rsid w:val="00BB1DDC"/>
    <w:rsid w:val="00BC30C9"/>
    <w:rsid w:val="00BD077D"/>
    <w:rsid w:val="00BD724A"/>
    <w:rsid w:val="00BE3E58"/>
    <w:rsid w:val="00C01616"/>
    <w:rsid w:val="00C0162B"/>
    <w:rsid w:val="00C068ED"/>
    <w:rsid w:val="00C17692"/>
    <w:rsid w:val="00C22E0C"/>
    <w:rsid w:val="00C345B1"/>
    <w:rsid w:val="00C40142"/>
    <w:rsid w:val="00C4165A"/>
    <w:rsid w:val="00C52C3C"/>
    <w:rsid w:val="00C538D9"/>
    <w:rsid w:val="00C57182"/>
    <w:rsid w:val="00C57863"/>
    <w:rsid w:val="00C640AF"/>
    <w:rsid w:val="00C655FD"/>
    <w:rsid w:val="00C75407"/>
    <w:rsid w:val="00C84682"/>
    <w:rsid w:val="00C870A8"/>
    <w:rsid w:val="00C94434"/>
    <w:rsid w:val="00C95BF4"/>
    <w:rsid w:val="00CA0D4A"/>
    <w:rsid w:val="00CA0D75"/>
    <w:rsid w:val="00CA1C95"/>
    <w:rsid w:val="00CA5A9C"/>
    <w:rsid w:val="00CC4C20"/>
    <w:rsid w:val="00CD3517"/>
    <w:rsid w:val="00CD4327"/>
    <w:rsid w:val="00CD5FE2"/>
    <w:rsid w:val="00CE7C68"/>
    <w:rsid w:val="00CF0293"/>
    <w:rsid w:val="00CF2BE3"/>
    <w:rsid w:val="00D02B4C"/>
    <w:rsid w:val="00D040C4"/>
    <w:rsid w:val="00D04435"/>
    <w:rsid w:val="00D20AD1"/>
    <w:rsid w:val="00D46B7E"/>
    <w:rsid w:val="00D57C84"/>
    <w:rsid w:val="00D6057D"/>
    <w:rsid w:val="00D648EC"/>
    <w:rsid w:val="00D71640"/>
    <w:rsid w:val="00D80303"/>
    <w:rsid w:val="00D836C5"/>
    <w:rsid w:val="00D84576"/>
    <w:rsid w:val="00DA1399"/>
    <w:rsid w:val="00DA24C6"/>
    <w:rsid w:val="00DA4D7B"/>
    <w:rsid w:val="00DB3233"/>
    <w:rsid w:val="00DD271C"/>
    <w:rsid w:val="00DD73A3"/>
    <w:rsid w:val="00DE264A"/>
    <w:rsid w:val="00DF5072"/>
    <w:rsid w:val="00DF6A46"/>
    <w:rsid w:val="00E02D18"/>
    <w:rsid w:val="00E041E7"/>
    <w:rsid w:val="00E23CA1"/>
    <w:rsid w:val="00E33DD7"/>
    <w:rsid w:val="00E36039"/>
    <w:rsid w:val="00E409A8"/>
    <w:rsid w:val="00E50C12"/>
    <w:rsid w:val="00E65B91"/>
    <w:rsid w:val="00E7209D"/>
    <w:rsid w:val="00E72EAD"/>
    <w:rsid w:val="00E763CF"/>
    <w:rsid w:val="00E77223"/>
    <w:rsid w:val="00E8528B"/>
    <w:rsid w:val="00E85B94"/>
    <w:rsid w:val="00E978D0"/>
    <w:rsid w:val="00EA4613"/>
    <w:rsid w:val="00EA7DC2"/>
    <w:rsid w:val="00EA7F91"/>
    <w:rsid w:val="00EB1523"/>
    <w:rsid w:val="00EC0E49"/>
    <w:rsid w:val="00EC101F"/>
    <w:rsid w:val="00EC1D9F"/>
    <w:rsid w:val="00EE0131"/>
    <w:rsid w:val="00EE17B0"/>
    <w:rsid w:val="00EF06D9"/>
    <w:rsid w:val="00F3049E"/>
    <w:rsid w:val="00F30C64"/>
    <w:rsid w:val="00F32BA2"/>
    <w:rsid w:val="00F32CDB"/>
    <w:rsid w:val="00F565FE"/>
    <w:rsid w:val="00F63A70"/>
    <w:rsid w:val="00F63D8C"/>
    <w:rsid w:val="00F7534E"/>
    <w:rsid w:val="00F93EDF"/>
    <w:rsid w:val="00FA1802"/>
    <w:rsid w:val="00FA21D0"/>
    <w:rsid w:val="00FA5F5F"/>
    <w:rsid w:val="00FB730C"/>
    <w:rsid w:val="00FC2695"/>
    <w:rsid w:val="00FC3E03"/>
    <w:rsid w:val="00FC3FC1"/>
    <w:rsid w:val="00FF51C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Textodelmarcadordeposicin">
    <w:name w:val="Placeholder Text"/>
    <w:basedOn w:val="Fuentedeprrafopredeter"/>
    <w:uiPriority w:val="99"/>
    <w:semiHidden/>
    <w:rsid w:val="00C538D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24458-FD8C-4762-82DB-C171EB92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6</Pages>
  <Words>3354</Words>
  <Characters>18450</Characters>
  <Application>Microsoft Office Word</Application>
  <DocSecurity>0</DocSecurity>
  <Lines>153</Lines>
  <Paragraphs>43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Juan Sandoval Herrera</cp:lastModifiedBy>
  <cp:revision>10</cp:revision>
  <cp:lastPrinted>2015-05-12T18:31:00Z</cp:lastPrinted>
  <dcterms:created xsi:type="dcterms:W3CDTF">2024-01-17T21:30:00Z</dcterms:created>
  <dcterms:modified xsi:type="dcterms:W3CDTF">2024-01-19T19:40:00Z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